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762B" w14:textId="03282CED" w:rsidR="00232570" w:rsidRPr="004E0A51" w:rsidRDefault="004E0A51" w:rsidP="000E74EB">
      <w:pPr>
        <w:pStyle w:val="JIASSAffiliation"/>
        <w:spacing w:before="60" w:after="60"/>
        <w:jc w:val="center"/>
        <w:rPr>
          <w:rFonts w:ascii="Gulliver-Regular" w:hAnsi="Gulliver-Regular"/>
          <w:sz w:val="20"/>
          <w:lang w:val="en-GB"/>
        </w:rPr>
      </w:pPr>
      <w:r w:rsidRPr="004E0A51">
        <w:rPr>
          <w:rFonts w:ascii="Gulliver-Regular" w:hAnsi="Gulliver-Regular"/>
          <w:b/>
          <w:bCs/>
          <w:caps/>
          <w:sz w:val="32"/>
          <w:lang w:val="en-GB"/>
        </w:rPr>
        <w:t>The VAT gap in relation to the quality of governance in selected CEE countries</w:t>
      </w:r>
    </w:p>
    <w:p w14:paraId="118F7036" w14:textId="63C8B3B7" w:rsidR="000E74EB" w:rsidRPr="004E0A51" w:rsidRDefault="000E74EB" w:rsidP="000E74EB">
      <w:pPr>
        <w:pStyle w:val="JIASSAffiliation"/>
        <w:spacing w:before="60" w:after="60"/>
        <w:jc w:val="center"/>
        <w:rPr>
          <w:rFonts w:ascii="Gulliver-Regular" w:hAnsi="Gulliver-Regular"/>
          <w:sz w:val="20"/>
          <w:lang w:val="en-GB"/>
        </w:rPr>
      </w:pPr>
    </w:p>
    <w:p w14:paraId="25A35770" w14:textId="065E2301" w:rsidR="004E0A51" w:rsidRPr="004E0A51" w:rsidRDefault="004E0A51" w:rsidP="000E74EB">
      <w:pPr>
        <w:pStyle w:val="JIASSAffiliation"/>
        <w:spacing w:before="60" w:after="60"/>
        <w:jc w:val="center"/>
        <w:rPr>
          <w:rFonts w:ascii="Gulliver-Regular" w:hAnsi="Gulliver-Regular"/>
          <w:sz w:val="20"/>
          <w:lang w:val="en-GB"/>
        </w:rPr>
      </w:pPr>
    </w:p>
    <w:p w14:paraId="6471A37F" w14:textId="77777777" w:rsidR="004E0A51" w:rsidRPr="004E0A51" w:rsidRDefault="004E0A51" w:rsidP="000E74EB">
      <w:pPr>
        <w:pStyle w:val="JIASSAffiliation"/>
        <w:spacing w:before="60" w:after="60"/>
        <w:jc w:val="center"/>
        <w:rPr>
          <w:rFonts w:ascii="Gulliver-Regular" w:hAnsi="Gulliver-Regular"/>
          <w:sz w:val="20"/>
          <w:lang w:val="en-GB"/>
        </w:rPr>
      </w:pPr>
    </w:p>
    <w:p w14:paraId="6A6ABC12" w14:textId="77777777" w:rsidR="004E0A51" w:rsidRPr="004E0A51" w:rsidRDefault="004E0A51" w:rsidP="004E0A51">
      <w:pPr>
        <w:pStyle w:val="10"/>
        <w:shd w:val="clear" w:color="auto" w:fill="FFFFFF"/>
        <w:jc w:val="center"/>
        <w:rPr>
          <w:rFonts w:ascii="Gulliver-Regular" w:hAnsi="Gulliver-Regular"/>
          <w:b/>
          <w:bCs/>
          <w:color w:val="222222"/>
          <w:sz w:val="26"/>
          <w:szCs w:val="26"/>
        </w:rPr>
      </w:pPr>
      <w:proofErr w:type="spellStart"/>
      <w:r w:rsidRPr="004E0A51">
        <w:rPr>
          <w:rFonts w:ascii="Gulliver-Regular" w:hAnsi="Gulliver-Regular"/>
          <w:b/>
          <w:bCs/>
          <w:color w:val="222222"/>
          <w:sz w:val="26"/>
          <w:szCs w:val="26"/>
        </w:rPr>
        <w:t>Cecília</w:t>
      </w:r>
      <w:proofErr w:type="spellEnd"/>
      <w:r w:rsidRPr="004E0A51">
        <w:rPr>
          <w:rFonts w:ascii="Gulliver-Regular" w:hAnsi="Gulliver-Regular"/>
          <w:b/>
          <w:bCs/>
          <w:color w:val="222222"/>
          <w:sz w:val="26"/>
          <w:szCs w:val="26"/>
        </w:rPr>
        <w:t xml:space="preserve"> Olexová</w:t>
      </w:r>
    </w:p>
    <w:p w14:paraId="1BBDFFDE" w14:textId="77777777" w:rsidR="004E0A51" w:rsidRPr="004E0A51" w:rsidRDefault="004E0A51" w:rsidP="004E0A51">
      <w:pPr>
        <w:pStyle w:val="10"/>
        <w:shd w:val="clear" w:color="auto" w:fill="FFFFFF"/>
        <w:jc w:val="center"/>
        <w:rPr>
          <w:rFonts w:ascii="Gulliver-Regular" w:hAnsi="Gulliver-Regular"/>
          <w:color w:val="222222"/>
          <w:sz w:val="20"/>
          <w:szCs w:val="20"/>
        </w:rPr>
      </w:pPr>
      <w:r w:rsidRPr="004E0A51">
        <w:rPr>
          <w:rFonts w:ascii="Gulliver-Regular" w:hAnsi="Gulliver-Regular"/>
          <w:color w:val="222222"/>
          <w:sz w:val="20"/>
          <w:szCs w:val="20"/>
        </w:rPr>
        <w:t>University of Economics in Bratislava, Slovak Republic</w:t>
      </w:r>
    </w:p>
    <w:p w14:paraId="630DAEC1" w14:textId="77777777" w:rsidR="004E0A51" w:rsidRPr="004E0A51" w:rsidRDefault="004E0A51" w:rsidP="004E0A51">
      <w:pPr>
        <w:pStyle w:val="10"/>
        <w:shd w:val="clear" w:color="auto" w:fill="FFFFFF"/>
        <w:jc w:val="center"/>
        <w:rPr>
          <w:rFonts w:ascii="Gulliver-Regular" w:hAnsi="Gulliver-Regular"/>
          <w:bCs/>
          <w:color w:val="222222"/>
          <w:sz w:val="20"/>
          <w:szCs w:val="20"/>
        </w:rPr>
      </w:pPr>
    </w:p>
    <w:p w14:paraId="1EF60A6A" w14:textId="77777777" w:rsidR="004E0A51" w:rsidRPr="004E0A51" w:rsidRDefault="004E0A51" w:rsidP="004E0A51">
      <w:pPr>
        <w:pStyle w:val="10"/>
        <w:shd w:val="clear" w:color="auto" w:fill="FFFFFF"/>
        <w:jc w:val="center"/>
        <w:rPr>
          <w:rFonts w:ascii="Gulliver-Regular" w:hAnsi="Gulliver-Regular"/>
          <w:b/>
          <w:bCs/>
          <w:color w:val="222222"/>
          <w:sz w:val="26"/>
          <w:szCs w:val="26"/>
        </w:rPr>
      </w:pPr>
      <w:proofErr w:type="spellStart"/>
      <w:r w:rsidRPr="004E0A51">
        <w:rPr>
          <w:rFonts w:ascii="Gulliver-Regular" w:hAnsi="Gulliver-Regular"/>
          <w:b/>
          <w:bCs/>
          <w:color w:val="222222"/>
          <w:sz w:val="26"/>
          <w:szCs w:val="26"/>
        </w:rPr>
        <w:t>František</w:t>
      </w:r>
      <w:proofErr w:type="spellEnd"/>
      <w:r w:rsidRPr="004E0A51">
        <w:rPr>
          <w:rFonts w:ascii="Gulliver-Regular" w:hAnsi="Gulliver-Regular"/>
          <w:b/>
          <w:bCs/>
          <w:color w:val="222222"/>
          <w:sz w:val="26"/>
          <w:szCs w:val="26"/>
        </w:rPr>
        <w:t xml:space="preserve"> </w:t>
      </w:r>
      <w:proofErr w:type="spellStart"/>
      <w:r w:rsidRPr="004E0A51">
        <w:rPr>
          <w:rFonts w:ascii="Gulliver-Regular" w:hAnsi="Gulliver-Regular"/>
          <w:b/>
          <w:bCs/>
          <w:color w:val="222222"/>
          <w:sz w:val="26"/>
          <w:szCs w:val="26"/>
        </w:rPr>
        <w:t>Sudzina</w:t>
      </w:r>
      <w:proofErr w:type="spellEnd"/>
    </w:p>
    <w:p w14:paraId="5FFA585A" w14:textId="77777777" w:rsidR="004E0A51" w:rsidRPr="004E0A51" w:rsidRDefault="004E0A51" w:rsidP="004E0A51">
      <w:pPr>
        <w:pStyle w:val="10"/>
        <w:shd w:val="clear" w:color="auto" w:fill="FFFFFF"/>
        <w:jc w:val="center"/>
        <w:rPr>
          <w:rFonts w:ascii="Gulliver-Regular" w:hAnsi="Gulliver-Regular"/>
          <w:bCs/>
          <w:color w:val="222222"/>
          <w:sz w:val="20"/>
          <w:szCs w:val="20"/>
        </w:rPr>
      </w:pPr>
      <w:r w:rsidRPr="004E0A51">
        <w:rPr>
          <w:rFonts w:ascii="Gulliver-Regular" w:hAnsi="Gulliver-Regular"/>
          <w:bCs/>
          <w:color w:val="222222"/>
          <w:sz w:val="20"/>
          <w:szCs w:val="20"/>
        </w:rPr>
        <w:t xml:space="preserve">University of Economics, Prague, Czech Republic; </w:t>
      </w:r>
      <w:r w:rsidRPr="004E0A51">
        <w:rPr>
          <w:rFonts w:ascii="Gulliver-Regular" w:hAnsi="Gulliver-Regular" w:cs="Times New Roman"/>
          <w:sz w:val="20"/>
          <w:szCs w:val="20"/>
          <w:lang w:val="en-GB"/>
        </w:rPr>
        <w:t>Aalborg University, Denmark</w:t>
      </w:r>
    </w:p>
    <w:p w14:paraId="221C585A" w14:textId="77777777" w:rsidR="004E0A51" w:rsidRPr="004E0A51" w:rsidRDefault="004E0A51" w:rsidP="004E0A51">
      <w:pPr>
        <w:pStyle w:val="10"/>
        <w:shd w:val="clear" w:color="auto" w:fill="FFFFFF"/>
        <w:jc w:val="center"/>
        <w:rPr>
          <w:rFonts w:ascii="Gulliver-Regular" w:hAnsi="Gulliver-Regular"/>
          <w:bCs/>
          <w:color w:val="222222"/>
          <w:sz w:val="20"/>
          <w:szCs w:val="20"/>
        </w:rPr>
      </w:pPr>
    </w:p>
    <w:p w14:paraId="34763E80" w14:textId="77777777" w:rsidR="004E0A51" w:rsidRPr="004E0A51" w:rsidRDefault="004E0A51" w:rsidP="004E0A51">
      <w:pPr>
        <w:pStyle w:val="10"/>
        <w:shd w:val="clear" w:color="auto" w:fill="FFFFFF"/>
        <w:jc w:val="center"/>
        <w:rPr>
          <w:rFonts w:ascii="Gulliver-Regular" w:hAnsi="Gulliver-Regular"/>
          <w:b/>
          <w:bCs/>
          <w:color w:val="222222"/>
          <w:sz w:val="26"/>
          <w:szCs w:val="26"/>
        </w:rPr>
      </w:pPr>
      <w:r w:rsidRPr="004E0A51">
        <w:rPr>
          <w:rFonts w:ascii="Gulliver-Regular" w:hAnsi="Gulliver-Regular"/>
          <w:b/>
          <w:bCs/>
          <w:color w:val="222222"/>
          <w:sz w:val="26"/>
          <w:szCs w:val="26"/>
        </w:rPr>
        <w:t xml:space="preserve">Karin </w:t>
      </w:r>
      <w:proofErr w:type="spellStart"/>
      <w:r w:rsidRPr="004E0A51">
        <w:rPr>
          <w:rFonts w:ascii="Gulliver-Regular" w:hAnsi="Gulliver-Regular"/>
          <w:b/>
          <w:bCs/>
          <w:color w:val="222222"/>
          <w:sz w:val="26"/>
          <w:szCs w:val="26"/>
        </w:rPr>
        <w:t>Cakoci</w:t>
      </w:r>
      <w:proofErr w:type="spellEnd"/>
    </w:p>
    <w:p w14:paraId="37488B1E" w14:textId="77777777" w:rsidR="004E0A51" w:rsidRPr="004E0A51" w:rsidRDefault="004E0A51" w:rsidP="004E0A51">
      <w:pPr>
        <w:pStyle w:val="10"/>
        <w:shd w:val="clear" w:color="auto" w:fill="FFFFFF"/>
        <w:jc w:val="center"/>
        <w:rPr>
          <w:rStyle w:val="title-text"/>
          <w:rFonts w:ascii="Gulliver-Regular" w:hAnsi="Gulliver-Regular"/>
          <w:sz w:val="20"/>
          <w:szCs w:val="20"/>
        </w:rPr>
      </w:pPr>
      <w:proofErr w:type="spellStart"/>
      <w:r w:rsidRPr="004E0A51">
        <w:rPr>
          <w:rFonts w:ascii="Gulliver-Regular" w:hAnsi="Gulliver-Regular"/>
          <w:bCs/>
          <w:color w:val="222222"/>
          <w:sz w:val="20"/>
          <w:szCs w:val="20"/>
        </w:rPr>
        <w:t>Pavol</w:t>
      </w:r>
      <w:proofErr w:type="spellEnd"/>
      <w:r w:rsidRPr="004E0A51">
        <w:rPr>
          <w:rFonts w:ascii="Gulliver-Regular" w:hAnsi="Gulliver-Regular"/>
          <w:bCs/>
          <w:color w:val="222222"/>
          <w:sz w:val="20"/>
          <w:szCs w:val="20"/>
        </w:rPr>
        <w:t xml:space="preserve"> </w:t>
      </w:r>
      <w:proofErr w:type="spellStart"/>
      <w:r w:rsidRPr="004E0A51">
        <w:rPr>
          <w:rFonts w:ascii="Gulliver-Regular" w:hAnsi="Gulliver-Regular"/>
          <w:bCs/>
          <w:color w:val="222222"/>
          <w:sz w:val="20"/>
          <w:szCs w:val="20"/>
        </w:rPr>
        <w:t>Jozef</w:t>
      </w:r>
      <w:proofErr w:type="spellEnd"/>
      <w:r w:rsidRPr="004E0A51">
        <w:rPr>
          <w:rFonts w:ascii="Gulliver-Regular" w:hAnsi="Gulliver-Regular"/>
          <w:bCs/>
          <w:color w:val="222222"/>
          <w:sz w:val="20"/>
          <w:szCs w:val="20"/>
        </w:rPr>
        <w:t xml:space="preserve"> </w:t>
      </w:r>
      <w:proofErr w:type="spellStart"/>
      <w:r w:rsidRPr="004E0A51">
        <w:rPr>
          <w:rFonts w:ascii="Gulliver-Regular" w:hAnsi="Gulliver-Regular"/>
          <w:bCs/>
          <w:color w:val="222222"/>
          <w:sz w:val="20"/>
          <w:szCs w:val="20"/>
        </w:rPr>
        <w:t>Šafárik</w:t>
      </w:r>
      <w:proofErr w:type="spellEnd"/>
      <w:r w:rsidRPr="004E0A51">
        <w:rPr>
          <w:rFonts w:ascii="Gulliver-Regular" w:hAnsi="Gulliver-Regular"/>
          <w:bCs/>
          <w:color w:val="222222"/>
          <w:sz w:val="20"/>
          <w:szCs w:val="20"/>
        </w:rPr>
        <w:t xml:space="preserve"> University in </w:t>
      </w:r>
      <w:proofErr w:type="spellStart"/>
      <w:r w:rsidRPr="004E0A51">
        <w:rPr>
          <w:rFonts w:ascii="Gulliver-Regular" w:hAnsi="Gulliver-Regular"/>
          <w:bCs/>
          <w:color w:val="222222"/>
          <w:sz w:val="20"/>
          <w:szCs w:val="20"/>
        </w:rPr>
        <w:t>Košice</w:t>
      </w:r>
      <w:proofErr w:type="spellEnd"/>
      <w:r w:rsidRPr="004E0A51">
        <w:rPr>
          <w:rFonts w:ascii="Gulliver-Regular" w:hAnsi="Gulliver-Regular"/>
          <w:bCs/>
          <w:color w:val="222222"/>
          <w:sz w:val="20"/>
          <w:szCs w:val="20"/>
        </w:rPr>
        <w:t>, Slovak Republic</w:t>
      </w:r>
    </w:p>
    <w:p w14:paraId="1D2D452E" w14:textId="77777777" w:rsidR="004E0A51" w:rsidRPr="004E0A51" w:rsidRDefault="004E0A51" w:rsidP="000E74EB">
      <w:pPr>
        <w:pStyle w:val="JIASSAffiliation"/>
        <w:spacing w:before="60" w:after="60"/>
        <w:jc w:val="center"/>
        <w:rPr>
          <w:rFonts w:ascii="Gulliver-Regular" w:hAnsi="Gulliver-Regular"/>
          <w:sz w:val="20"/>
          <w:lang w:val="en-GB"/>
        </w:rPr>
      </w:pPr>
    </w:p>
    <w:p w14:paraId="25710844" w14:textId="5F1D3FB6" w:rsidR="004748C8" w:rsidRPr="004E0A51" w:rsidRDefault="004748C8" w:rsidP="000E74EB">
      <w:pPr>
        <w:pStyle w:val="JIASSEditorNote"/>
        <w:spacing w:before="60" w:after="60"/>
        <w:jc w:val="center"/>
        <w:rPr>
          <w:rFonts w:ascii="Gulliver-Regular" w:hAnsi="Gulliver-Regular"/>
          <w:sz w:val="20"/>
          <w:lang w:val="en-GB"/>
        </w:rPr>
      </w:pPr>
    </w:p>
    <w:p w14:paraId="0021FFBD" w14:textId="77777777" w:rsidR="000F18FD" w:rsidRPr="004E0A51" w:rsidRDefault="000F18FD" w:rsidP="000E74EB">
      <w:pPr>
        <w:pStyle w:val="JIASSEditorNote"/>
        <w:spacing w:before="60" w:after="60"/>
        <w:jc w:val="center"/>
        <w:rPr>
          <w:rFonts w:ascii="Gulliver-Regular" w:hAnsi="Gulliver-Regular"/>
          <w:sz w:val="20"/>
          <w:lang w:val="en-GB"/>
        </w:rPr>
      </w:pPr>
    </w:p>
    <w:p w14:paraId="7C56DBFC" w14:textId="77777777" w:rsidR="00A90114" w:rsidRPr="004E0A51" w:rsidRDefault="00A90114" w:rsidP="004D0F37">
      <w:pPr>
        <w:pStyle w:val="JIASSAbstractTitle"/>
        <w:spacing w:before="60" w:after="60"/>
        <w:jc w:val="center"/>
        <w:rPr>
          <w:rFonts w:ascii="Gulliver-Regular" w:hAnsi="Gulliver-Regular"/>
          <w:i w:val="0"/>
          <w:sz w:val="20"/>
          <w:szCs w:val="20"/>
          <w:lang w:val="en-GB"/>
        </w:rPr>
      </w:pPr>
      <w:r w:rsidRPr="004E0A51">
        <w:rPr>
          <w:rFonts w:ascii="Gulliver-Regular" w:hAnsi="Gulliver-Regular"/>
          <w:i w:val="0"/>
          <w:sz w:val="20"/>
          <w:szCs w:val="20"/>
          <w:lang w:val="en-GB"/>
        </w:rPr>
        <w:t>ABSTRACT</w:t>
      </w:r>
    </w:p>
    <w:p w14:paraId="26D6C66B" w14:textId="77777777" w:rsidR="004E0A51" w:rsidRPr="004E0A51" w:rsidRDefault="004E0A51" w:rsidP="004E0A51">
      <w:pPr>
        <w:pStyle w:val="JIASSKeywords"/>
        <w:spacing w:before="60" w:after="60"/>
        <w:rPr>
          <w:rFonts w:ascii="Gulliver-Regular" w:hAnsi="Gulliver-Regular"/>
          <w:i w:val="0"/>
          <w:snapToGrid/>
          <w:sz w:val="20"/>
          <w:lang w:eastAsia="zh-CN"/>
        </w:rPr>
      </w:pPr>
      <w:r w:rsidRPr="004E0A51">
        <w:rPr>
          <w:rFonts w:ascii="Gulliver-Regular" w:hAnsi="Gulliver-Regular"/>
          <w:i w:val="0"/>
          <w:color w:val="000000" w:themeColor="text1"/>
          <w:sz w:val="20"/>
          <w:lang w:eastAsia="zh-CN"/>
        </w:rPr>
        <w:t xml:space="preserve">The objective of this paper is to examine the value-added tax gap in relation to the quality of governance in </w:t>
      </w:r>
      <w:r w:rsidRPr="004E0A51">
        <w:rPr>
          <w:rFonts w:ascii="Gulliver-Regular" w:hAnsi="Gulliver-Regular"/>
          <w:i w:val="0"/>
          <w:sz w:val="20"/>
          <w:lang w:eastAsia="zh-CN"/>
        </w:rPr>
        <w:t xml:space="preserve">selected Central and Eastern European countries. The tax gap is caused mainly by tax evasion and tax avoidance of the value-added tax </w:t>
      </w:r>
      <w:r w:rsidRPr="004E0A51">
        <w:rPr>
          <w:rFonts w:ascii="Gulliver-Regular" w:hAnsi="Gulliver-Regular"/>
          <w:i w:val="0"/>
          <w:color w:val="000000" w:themeColor="text1"/>
          <w:sz w:val="20"/>
          <w:lang w:eastAsia="zh-CN"/>
        </w:rPr>
        <w:t>(VAT) and</w:t>
      </w:r>
      <w:r w:rsidRPr="004E0A51">
        <w:rPr>
          <w:rFonts w:ascii="Gulliver-Regular" w:hAnsi="Gulliver-Regular"/>
          <w:i w:val="0"/>
          <w:sz w:val="20"/>
          <w:lang w:eastAsia="zh-CN"/>
        </w:rPr>
        <w:t xml:space="preserve"> is calculated as a share, in percent, of VAT total tax liability. The Worldwide Governance Indicators are used to represent quality of governance, and all six comprehensive dimensions of governance have been used: a) voice, accountability; b) political stability, absence of violence or terrorism; c) effectiveness of government; d) quality of regulation; e) the rule of law; and f) control of corruption. The results section shows the proven relationships between the VAT gap and the </w:t>
      </w:r>
      <w:proofErr w:type="spellStart"/>
      <w:r w:rsidRPr="004E0A51">
        <w:rPr>
          <w:rFonts w:ascii="Gulliver-Regular" w:hAnsi="Gulliver-Regular"/>
          <w:i w:val="0"/>
          <w:sz w:val="20"/>
          <w:lang w:eastAsia="zh-CN"/>
        </w:rPr>
        <w:t>WGI</w:t>
      </w:r>
      <w:proofErr w:type="spellEnd"/>
      <w:r w:rsidRPr="004E0A51">
        <w:rPr>
          <w:rFonts w:ascii="Gulliver-Regular" w:hAnsi="Gulliver-Regular"/>
          <w:i w:val="0"/>
          <w:sz w:val="20"/>
          <w:lang w:eastAsia="zh-CN"/>
        </w:rPr>
        <w:t xml:space="preserve"> indicators in the analyzed countries using statistical application methods (correlations) and data from 2000 to 2019. The most significant factor related to the VAT gap is the control of corruption, thus encouraging governments to enhance the anti-corruption measures.</w:t>
      </w:r>
    </w:p>
    <w:p w14:paraId="1886BCEF" w14:textId="77777777" w:rsidR="004E0A51" w:rsidRPr="004E0A51" w:rsidRDefault="004E0A51" w:rsidP="004E0A51">
      <w:pPr>
        <w:pStyle w:val="JIASSKeywords"/>
        <w:spacing w:before="60" w:after="60"/>
        <w:ind w:left="1170" w:right="-180" w:hanging="1170"/>
        <w:jc w:val="left"/>
        <w:rPr>
          <w:rStyle w:val="JIASSKeyTitle"/>
          <w:rFonts w:ascii="Gulliver-Regular" w:hAnsi="Gulliver-Regular"/>
          <w:sz w:val="20"/>
        </w:rPr>
      </w:pPr>
    </w:p>
    <w:p w14:paraId="040AC9EF" w14:textId="77777777" w:rsidR="004E0A51" w:rsidRPr="004E0A51" w:rsidRDefault="004E0A51" w:rsidP="004E0A51">
      <w:pPr>
        <w:pStyle w:val="JIASSKeywords"/>
        <w:spacing w:before="60" w:after="60"/>
        <w:ind w:left="1170" w:right="-180" w:hanging="1170"/>
        <w:jc w:val="left"/>
        <w:rPr>
          <w:rFonts w:ascii="Gulliver-Regular" w:hAnsi="Gulliver-Regular"/>
        </w:rPr>
      </w:pPr>
      <w:r w:rsidRPr="004E0A51">
        <w:rPr>
          <w:rStyle w:val="JIASSKeyTitle"/>
          <w:rFonts w:ascii="Gulliver-Regular" w:hAnsi="Gulliver-Regular"/>
          <w:sz w:val="20"/>
        </w:rPr>
        <w:t xml:space="preserve">Keywords: </w:t>
      </w:r>
      <w:r w:rsidRPr="004E0A51">
        <w:rPr>
          <w:rFonts w:ascii="Gulliver-Regular" w:hAnsi="Gulliver-Regular"/>
          <w:i w:val="0"/>
          <w:sz w:val="20"/>
        </w:rPr>
        <w:t>Tax Gap, Value Added-Tax, Worldwide Governance Indicators, Central and Eastern European countries</w:t>
      </w:r>
    </w:p>
    <w:p w14:paraId="60EF6F00" w14:textId="77777777" w:rsidR="0042575A" w:rsidRPr="004E0A51" w:rsidRDefault="0042575A" w:rsidP="00CB4497">
      <w:pPr>
        <w:pStyle w:val="JIASSKeywords"/>
        <w:spacing w:before="60" w:after="60"/>
        <w:ind w:left="1170" w:right="-180" w:hanging="1170"/>
        <w:jc w:val="left"/>
        <w:rPr>
          <w:rFonts w:ascii="Gulliver-Regular" w:hAnsi="Gulliver-Regular"/>
          <w:bCs/>
          <w:i w:val="0"/>
          <w:sz w:val="20"/>
          <w:lang w:val="en-GB"/>
        </w:rPr>
      </w:pPr>
    </w:p>
    <w:p w14:paraId="5C82390D" w14:textId="77777777" w:rsidR="0042575A" w:rsidRPr="004E0A51" w:rsidRDefault="0042575A" w:rsidP="00CB4497">
      <w:pPr>
        <w:pStyle w:val="JIASSKeywords"/>
        <w:spacing w:before="60" w:after="60"/>
        <w:ind w:left="1170" w:right="-180" w:hanging="1170"/>
        <w:jc w:val="left"/>
        <w:rPr>
          <w:rFonts w:ascii="Gulliver-Regular" w:hAnsi="Gulliver-Regular"/>
          <w:bCs/>
          <w:i w:val="0"/>
          <w:sz w:val="20"/>
          <w:lang w:val="en-GB"/>
        </w:rPr>
      </w:pPr>
    </w:p>
    <w:p w14:paraId="0AD390B3" w14:textId="02C1F02F" w:rsidR="00C87306" w:rsidRPr="004E0A51" w:rsidRDefault="008B795D" w:rsidP="006A52F0">
      <w:pPr>
        <w:pStyle w:val="JIASSKeywords"/>
        <w:spacing w:before="60" w:after="60"/>
        <w:ind w:left="1260" w:hanging="1260"/>
        <w:rPr>
          <w:rFonts w:ascii="Gulliver-Regular" w:hAnsi="Gulliver-Regular"/>
          <w:bCs/>
          <w:i w:val="0"/>
          <w:sz w:val="20"/>
          <w:lang w:val="fr-FR"/>
        </w:rPr>
      </w:pPr>
      <w:r w:rsidRPr="004E0A51">
        <w:rPr>
          <w:rFonts w:ascii="Gulliver-Regular" w:hAnsi="Gulliver-Regular"/>
          <w:bCs/>
          <w:i w:val="0"/>
          <w:sz w:val="20"/>
          <w:lang w:val="fr-FR"/>
        </w:rPr>
        <w:t xml:space="preserve">DOI: </w:t>
      </w:r>
      <w:hyperlink r:id="rId7" w:history="1">
        <w:r w:rsidR="00E1050E" w:rsidRPr="00E1050E">
          <w:rPr>
            <w:rStyle w:val="Hyperlink"/>
            <w:rFonts w:ascii="Gulliver-Regular" w:hAnsi="Gulliver-Regular"/>
            <w:bCs/>
            <w:i w:val="0"/>
            <w:sz w:val="20"/>
            <w:u w:val="none"/>
            <w:lang w:val="fr-FR"/>
          </w:rPr>
          <w:t>http://dx.doi.org/10.15549/jeecar.v9i3.791</w:t>
        </w:r>
      </w:hyperlink>
      <w:r w:rsidR="00E1050E">
        <w:rPr>
          <w:rFonts w:ascii="Gulliver-Regular" w:hAnsi="Gulliver-Regular"/>
          <w:bCs/>
          <w:i w:val="0"/>
          <w:sz w:val="20"/>
          <w:lang w:val="fr-FR"/>
        </w:rPr>
        <w:t xml:space="preserve"> </w:t>
      </w:r>
      <w:r w:rsidR="004E0A51" w:rsidRPr="004E0A51">
        <w:rPr>
          <w:rFonts w:ascii="Gulliver-Regular" w:hAnsi="Gulliver-Regular"/>
          <w:bCs/>
          <w:i w:val="0"/>
          <w:sz w:val="20"/>
          <w:lang w:val="fr-FR"/>
        </w:rPr>
        <w:t xml:space="preserve"> </w:t>
      </w:r>
    </w:p>
    <w:p w14:paraId="7162E8DC" w14:textId="77777777" w:rsidR="00C87306" w:rsidRPr="004E0A51" w:rsidRDefault="00C87306" w:rsidP="006A52F0">
      <w:pPr>
        <w:pStyle w:val="JIASSKeywords"/>
        <w:spacing w:before="60" w:after="60"/>
        <w:ind w:left="1260" w:hanging="1260"/>
        <w:rPr>
          <w:rFonts w:ascii="Gulliver-Regular" w:hAnsi="Gulliver-Regular"/>
          <w:bCs/>
          <w:i w:val="0"/>
          <w:sz w:val="20"/>
          <w:lang w:val="fr-FR"/>
        </w:rPr>
      </w:pPr>
    </w:p>
    <w:p w14:paraId="7A8C24D9" w14:textId="77777777" w:rsidR="00C87306" w:rsidRPr="004E0A51" w:rsidRDefault="00C87306" w:rsidP="006A52F0">
      <w:pPr>
        <w:pStyle w:val="JIASSKeywords"/>
        <w:spacing w:before="60" w:after="60"/>
        <w:ind w:left="1260" w:hanging="1260"/>
        <w:rPr>
          <w:rFonts w:ascii="Gulliver-Regular" w:hAnsi="Gulliver-Regular"/>
          <w:bCs/>
          <w:i w:val="0"/>
          <w:sz w:val="20"/>
          <w:lang w:val="fr-FR"/>
        </w:rPr>
      </w:pPr>
    </w:p>
    <w:p w14:paraId="6D6E8C72" w14:textId="77777777" w:rsidR="00800E17" w:rsidRPr="004E0A51" w:rsidRDefault="00800E17" w:rsidP="00FE7B2D">
      <w:pPr>
        <w:pStyle w:val="JIASSKeywords"/>
        <w:ind w:left="1260" w:hanging="1260"/>
        <w:rPr>
          <w:rFonts w:ascii="Gulliver-Regular" w:hAnsi="Gulliver-Regular"/>
          <w:bCs/>
          <w:sz w:val="20"/>
          <w:lang w:val="fr-FR"/>
        </w:rPr>
      </w:pPr>
    </w:p>
    <w:p w14:paraId="450ED5BE" w14:textId="77777777" w:rsidR="00800E17" w:rsidRPr="004E0A51" w:rsidRDefault="00800E17" w:rsidP="00FE7B2D">
      <w:pPr>
        <w:pStyle w:val="JIASSKeywords"/>
        <w:ind w:left="1260" w:hanging="1260"/>
        <w:rPr>
          <w:rFonts w:ascii="Gulliver-Regular" w:hAnsi="Gulliver-Regular"/>
          <w:bCs/>
          <w:sz w:val="20"/>
          <w:lang w:val="fr-FR"/>
        </w:rPr>
        <w:sectPr w:rsidR="00800E17" w:rsidRPr="004E0A51" w:rsidSect="006E60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864" w:left="1440" w:header="576" w:footer="432" w:gutter="0"/>
          <w:pgNumType w:start="385"/>
          <w:cols w:space="425"/>
          <w:titlePg/>
          <w:docGrid w:linePitch="299"/>
        </w:sectPr>
      </w:pPr>
    </w:p>
    <w:p w14:paraId="652ABC41" w14:textId="77777777" w:rsidR="00762DB8" w:rsidRPr="004E0A51" w:rsidRDefault="00F84004" w:rsidP="0091553E">
      <w:pPr>
        <w:spacing w:before="60" w:after="60"/>
        <w:jc w:val="center"/>
        <w:rPr>
          <w:rFonts w:ascii="Gulliver-Regular" w:hAnsi="Gulliver-Regular"/>
          <w:b/>
          <w:sz w:val="20"/>
          <w:lang w:val="en-GB"/>
        </w:rPr>
      </w:pPr>
      <w:r w:rsidRPr="004E0A51">
        <w:rPr>
          <w:rFonts w:ascii="Gulliver-Regular" w:hAnsi="Gulliver-Regular"/>
          <w:b/>
          <w:sz w:val="20"/>
          <w:lang w:val="en-GB"/>
        </w:rPr>
        <w:t>INTRODUCTION</w:t>
      </w:r>
    </w:p>
    <w:p w14:paraId="1D2A616D"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Several approaches, models, and concepts are encountered in economic theory that address the issue of taxation and tax policy as a part of economic policy, which in modern democracies is significantly influenced by the existing political alignments in the domestic economy, </w:t>
      </w:r>
      <w:proofErr w:type="gramStart"/>
      <w:r w:rsidRPr="004E0A51">
        <w:rPr>
          <w:rFonts w:ascii="Gulliver-Regular" w:hAnsi="Gulliver-Regular"/>
        </w:rPr>
        <w:t>and also</w:t>
      </w:r>
      <w:proofErr w:type="gramEnd"/>
      <w:r w:rsidRPr="004E0A51">
        <w:rPr>
          <w:rFonts w:ascii="Gulliver-Regular" w:hAnsi="Gulliver-Regular"/>
        </w:rPr>
        <w:t xml:space="preserve"> in supranational units (to which a specific country belongs) (</w:t>
      </w:r>
      <w:proofErr w:type="spellStart"/>
      <w:r w:rsidRPr="004E0A51">
        <w:rPr>
          <w:rFonts w:ascii="Gulliver-Regular" w:hAnsi="Gulliver-Regular"/>
        </w:rPr>
        <w:t>Cakoci</w:t>
      </w:r>
      <w:proofErr w:type="spellEnd"/>
      <w:r w:rsidRPr="004E0A51">
        <w:rPr>
          <w:rFonts w:ascii="Gulliver-Regular" w:hAnsi="Gulliver-Regular"/>
        </w:rPr>
        <w:t xml:space="preserve">, 2019). According to </w:t>
      </w:r>
      <w:proofErr w:type="spellStart"/>
      <w:r w:rsidRPr="004E0A51">
        <w:rPr>
          <w:rFonts w:ascii="Gulliver-Regular" w:hAnsi="Gulliver-Regular"/>
        </w:rPr>
        <w:t>Šrein</w:t>
      </w:r>
      <w:proofErr w:type="spellEnd"/>
      <w:r w:rsidRPr="004E0A51">
        <w:rPr>
          <w:rFonts w:ascii="Gulliver-Regular" w:hAnsi="Gulliver-Regular"/>
        </w:rPr>
        <w:t xml:space="preserve"> (2008), economic theory implies that the tax system should fulfil two </w:t>
      </w:r>
      <w:r w:rsidRPr="004E0A51">
        <w:rPr>
          <w:rFonts w:ascii="Gulliver-Regular" w:hAnsi="Gulliver-Regular"/>
        </w:rPr>
        <w:t>essential functions, namely fiscal (in connection with revenues to state and public budgets) and incentive (in connection with influencing the economic behavior of entities through tax policy). In contrast, these functions may be against each other. From the fiscal goals point of view, mainly when a high tax burden is set, efforts to avoid tax evasion and tax avoidance can be observed.</w:t>
      </w:r>
    </w:p>
    <w:p w14:paraId="7DE84758"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Different reasons for tax evasion and tax avoidance by taxpayers have been the subject of </w:t>
      </w:r>
      <w:r w:rsidRPr="004E0A51">
        <w:rPr>
          <w:rFonts w:ascii="Gulliver-Regular" w:hAnsi="Gulliver-Regular"/>
        </w:rPr>
        <w:lastRenderedPageBreak/>
        <w:t xml:space="preserve">research of both academicians and practitioners (see e. g. </w:t>
      </w:r>
      <w:proofErr w:type="spellStart"/>
      <w:r w:rsidRPr="004E0A51">
        <w:rPr>
          <w:rFonts w:ascii="Gulliver-Regular" w:hAnsi="Gulliver-Regular"/>
        </w:rPr>
        <w:t>Blanthorne</w:t>
      </w:r>
      <w:proofErr w:type="spellEnd"/>
      <w:r w:rsidRPr="004E0A51">
        <w:rPr>
          <w:rFonts w:ascii="Gulliver-Regular" w:hAnsi="Gulliver-Regular"/>
        </w:rPr>
        <w:t xml:space="preserve"> &amp; Kaplan, 2008; Hug &amp; </w:t>
      </w:r>
      <w:proofErr w:type="spellStart"/>
      <w:r w:rsidRPr="004E0A51">
        <w:rPr>
          <w:rFonts w:ascii="Gulliver-Regular" w:hAnsi="Gulliver-Regular"/>
        </w:rPr>
        <w:t>Spörri</w:t>
      </w:r>
      <w:proofErr w:type="spellEnd"/>
      <w:r w:rsidRPr="004E0A51">
        <w:rPr>
          <w:rFonts w:ascii="Gulliver-Regular" w:hAnsi="Gulliver-Regular"/>
        </w:rPr>
        <w:t xml:space="preserve">, 2011; </w:t>
      </w:r>
      <w:proofErr w:type="spellStart"/>
      <w:r w:rsidRPr="004E0A51">
        <w:rPr>
          <w:rFonts w:ascii="Gulliver-Regular" w:hAnsi="Gulliver-Regular"/>
        </w:rPr>
        <w:t>Torgler</w:t>
      </w:r>
      <w:proofErr w:type="spellEnd"/>
      <w:r w:rsidRPr="004E0A51">
        <w:rPr>
          <w:rFonts w:ascii="Gulliver-Regular" w:hAnsi="Gulliver-Regular"/>
        </w:rPr>
        <w:t xml:space="preserve">, 2012; </w:t>
      </w:r>
      <w:proofErr w:type="spellStart"/>
      <w:r w:rsidRPr="004E0A51">
        <w:rPr>
          <w:rFonts w:ascii="Gulliver-Regular" w:hAnsi="Gulliver-Regular"/>
        </w:rPr>
        <w:t>Zídková</w:t>
      </w:r>
      <w:proofErr w:type="spellEnd"/>
      <w:r w:rsidRPr="004E0A51">
        <w:rPr>
          <w:rFonts w:ascii="Gulliver-Regular" w:hAnsi="Gulliver-Regular"/>
        </w:rPr>
        <w:t xml:space="preserve"> &amp; Pavel, 2016; </w:t>
      </w:r>
      <w:proofErr w:type="spellStart"/>
      <w:r w:rsidRPr="004E0A51">
        <w:rPr>
          <w:rFonts w:ascii="Gulliver-Regular" w:hAnsi="Gulliver-Regular"/>
        </w:rPr>
        <w:t>Bab</w:t>
      </w:r>
      <w:r w:rsidRPr="004E0A51">
        <w:rPr>
          <w:rFonts w:ascii="Cambria" w:hAnsi="Cambria" w:cs="Cambria"/>
        </w:rPr>
        <w:t>č</w:t>
      </w:r>
      <w:r w:rsidRPr="004E0A51">
        <w:rPr>
          <w:rFonts w:ascii="Gulliver-Regular" w:hAnsi="Gulliver-Regular" w:cs="Gulliver-Regular"/>
        </w:rPr>
        <w:t>á</w:t>
      </w:r>
      <w:r w:rsidRPr="004E0A51">
        <w:rPr>
          <w:rFonts w:ascii="Gulliver-Regular" w:hAnsi="Gulliver-Regular"/>
        </w:rPr>
        <w:t>k</w:t>
      </w:r>
      <w:proofErr w:type="spellEnd"/>
      <w:r w:rsidRPr="004E0A51">
        <w:rPr>
          <w:rFonts w:ascii="Gulliver-Regular" w:hAnsi="Gulliver-Regular"/>
        </w:rPr>
        <w:t xml:space="preserve">, 2017; </w:t>
      </w:r>
      <w:proofErr w:type="spellStart"/>
      <w:r w:rsidRPr="004E0A51">
        <w:rPr>
          <w:rFonts w:ascii="Gulliver-Regular" w:hAnsi="Gulliver-Regular"/>
        </w:rPr>
        <w:t>Horodnic</w:t>
      </w:r>
      <w:proofErr w:type="spellEnd"/>
      <w:r w:rsidRPr="004E0A51">
        <w:rPr>
          <w:rFonts w:ascii="Gulliver-Regular" w:hAnsi="Gulliver-Regular"/>
        </w:rPr>
        <w:t>, 2018; Dur</w:t>
      </w:r>
      <w:r w:rsidRPr="004E0A51">
        <w:rPr>
          <w:rFonts w:ascii="Gulliver-Regular" w:hAnsi="Gulliver-Regular" w:cs="Gulliver-Regular"/>
        </w:rPr>
        <w:t>á</w:t>
      </w:r>
      <w:r w:rsidRPr="004E0A51">
        <w:rPr>
          <w:rFonts w:ascii="Gulliver-Regular" w:hAnsi="Gulliver-Regular"/>
        </w:rPr>
        <w:t>n-</w:t>
      </w:r>
      <w:proofErr w:type="spellStart"/>
      <w:r w:rsidRPr="004E0A51">
        <w:rPr>
          <w:rFonts w:ascii="Gulliver-Regular" w:hAnsi="Gulliver-Regular"/>
        </w:rPr>
        <w:t>Cabr</w:t>
      </w:r>
      <w:r w:rsidRPr="004E0A51">
        <w:rPr>
          <w:rFonts w:ascii="Gulliver-Regular" w:hAnsi="Gulliver-Regular" w:cs="Gulliver-Regular"/>
        </w:rPr>
        <w:t>é</w:t>
      </w:r>
      <w:proofErr w:type="spellEnd"/>
      <w:r w:rsidRPr="004E0A51">
        <w:rPr>
          <w:rFonts w:ascii="Gulliver-Regular" w:hAnsi="Gulliver-Regular"/>
        </w:rPr>
        <w:t xml:space="preserve"> et al., 2019; Di </w:t>
      </w:r>
      <w:proofErr w:type="spellStart"/>
      <w:r w:rsidRPr="004E0A51">
        <w:rPr>
          <w:rFonts w:ascii="Gulliver-Regular" w:hAnsi="Gulliver-Regular"/>
        </w:rPr>
        <w:t>Gioacchino</w:t>
      </w:r>
      <w:proofErr w:type="spellEnd"/>
      <w:r w:rsidRPr="004E0A51">
        <w:rPr>
          <w:rFonts w:ascii="Gulliver-Regular" w:hAnsi="Gulliver-Regular"/>
        </w:rPr>
        <w:t xml:space="preserve"> &amp; </w:t>
      </w:r>
      <w:proofErr w:type="spellStart"/>
      <w:r w:rsidRPr="004E0A51">
        <w:rPr>
          <w:rFonts w:ascii="Gulliver-Regular" w:hAnsi="Gulliver-Regular"/>
        </w:rPr>
        <w:t>Fichera</w:t>
      </w:r>
      <w:proofErr w:type="spellEnd"/>
      <w:r w:rsidRPr="004E0A51">
        <w:rPr>
          <w:rFonts w:ascii="Gulliver-Regular" w:hAnsi="Gulliver-Regular"/>
        </w:rPr>
        <w:t xml:space="preserve">, 2020), due to its practical impact on state budgets, business environment and consequently on public services and their quality. The motivation factors of tax evasion or tax avoidance can be different: personal traits (see Olexová &amp; </w:t>
      </w:r>
      <w:proofErr w:type="spellStart"/>
      <w:r w:rsidRPr="004E0A51">
        <w:rPr>
          <w:rFonts w:ascii="Gulliver-Regular" w:hAnsi="Gulliver-Regular"/>
        </w:rPr>
        <w:t>Sudzina</w:t>
      </w:r>
      <w:proofErr w:type="spellEnd"/>
      <w:r w:rsidRPr="004E0A51">
        <w:rPr>
          <w:rFonts w:ascii="Gulliver-Regular" w:hAnsi="Gulliver-Regular"/>
        </w:rPr>
        <w:t xml:space="preserve">, 2019); demographical, cultural, ethical, or psychological factors (see </w:t>
      </w:r>
      <w:proofErr w:type="spellStart"/>
      <w:r w:rsidRPr="004E0A51">
        <w:rPr>
          <w:rFonts w:ascii="Gulliver-Regular" w:hAnsi="Gulliver-Regular"/>
        </w:rPr>
        <w:t>Alm</w:t>
      </w:r>
      <w:proofErr w:type="spellEnd"/>
      <w:r w:rsidRPr="004E0A51">
        <w:rPr>
          <w:rFonts w:ascii="Gulliver-Regular" w:hAnsi="Gulliver-Regular"/>
        </w:rPr>
        <w:t xml:space="preserve"> &amp; </w:t>
      </w:r>
      <w:proofErr w:type="spellStart"/>
      <w:r w:rsidRPr="004E0A51">
        <w:rPr>
          <w:rFonts w:ascii="Gulliver-Regular" w:hAnsi="Gulliver-Regular"/>
        </w:rPr>
        <w:t>Torgler</w:t>
      </w:r>
      <w:proofErr w:type="spellEnd"/>
      <w:r w:rsidRPr="004E0A51">
        <w:rPr>
          <w:rFonts w:ascii="Gulliver-Regular" w:hAnsi="Gulliver-Regular"/>
        </w:rPr>
        <w:t xml:space="preserve">, 2006; </w:t>
      </w:r>
      <w:proofErr w:type="spellStart"/>
      <w:r w:rsidRPr="004E0A51">
        <w:rPr>
          <w:rFonts w:ascii="Gulliver-Regular" w:hAnsi="Gulliver-Regular"/>
        </w:rPr>
        <w:t>Schultzová</w:t>
      </w:r>
      <w:proofErr w:type="spellEnd"/>
      <w:r w:rsidRPr="004E0A51">
        <w:rPr>
          <w:rFonts w:ascii="Gulliver-Regular" w:hAnsi="Gulliver-Regular"/>
        </w:rPr>
        <w:t>, 2020); or administrative factors, political factors, or the quality of government services (</w:t>
      </w:r>
      <w:bookmarkStart w:id="2" w:name="_Hlk98224989"/>
      <w:proofErr w:type="spellStart"/>
      <w:r w:rsidRPr="004E0A51">
        <w:rPr>
          <w:rFonts w:ascii="Gulliver-Regular" w:hAnsi="Gulliver-Regular"/>
        </w:rPr>
        <w:t>Hanousek</w:t>
      </w:r>
      <w:proofErr w:type="spellEnd"/>
      <w:r w:rsidRPr="004E0A51">
        <w:rPr>
          <w:rFonts w:ascii="Gulliver-Regular" w:hAnsi="Gulliver-Regular"/>
        </w:rPr>
        <w:t xml:space="preserve"> &amp; </w:t>
      </w:r>
      <w:proofErr w:type="spellStart"/>
      <w:r w:rsidRPr="004E0A51">
        <w:rPr>
          <w:rFonts w:ascii="Gulliver-Regular" w:hAnsi="Gulliver-Regular"/>
        </w:rPr>
        <w:t>Paldda</w:t>
      </w:r>
      <w:proofErr w:type="spellEnd"/>
      <w:r w:rsidRPr="004E0A51">
        <w:rPr>
          <w:rFonts w:ascii="Gulliver-Regular" w:hAnsi="Gulliver-Regular"/>
        </w:rPr>
        <w:t>, 2004; Sipos, 2015; Newman et al., 2018).</w:t>
      </w:r>
    </w:p>
    <w:bookmarkEnd w:id="2"/>
    <w:p w14:paraId="5305F660" w14:textId="77777777" w:rsidR="004E0A51" w:rsidRPr="004E0A51" w:rsidRDefault="004E0A51" w:rsidP="004E0A51">
      <w:pPr>
        <w:pStyle w:val="Text"/>
        <w:spacing w:before="60" w:after="60"/>
        <w:ind w:firstLine="180"/>
        <w:rPr>
          <w:rFonts w:ascii="Gulliver-Regular" w:hAnsi="Gulliver-Regular"/>
          <w:lang w:val="en-GB"/>
        </w:rPr>
      </w:pPr>
      <w:r w:rsidRPr="004E0A51">
        <w:rPr>
          <w:rFonts w:ascii="Gulliver-Regular" w:hAnsi="Gulliver-Regular"/>
        </w:rPr>
        <w:t>The objective of this paper is to examine the tax gap from the perspective of its relation to the quality of governance. Quality of governance can be expressed by six indicators</w:t>
      </w:r>
      <w:r w:rsidRPr="004E0A51">
        <w:rPr>
          <w:rFonts w:ascii="Gulliver-Regular" w:hAnsi="Gulliver-Regular"/>
          <w:lang w:val="en-GB"/>
        </w:rPr>
        <w:t xml:space="preserve"> (Kaufmann et al., 2010):</w:t>
      </w:r>
    </w:p>
    <w:p w14:paraId="26C9A103" w14:textId="77777777" w:rsidR="004E0A51" w:rsidRPr="004E0A51" w:rsidRDefault="004E0A51" w:rsidP="004E0A51">
      <w:pPr>
        <w:pStyle w:val="a"/>
        <w:ind w:left="360" w:hanging="180"/>
        <w:rPr>
          <w:rFonts w:ascii="Gulliver-Regular" w:hAnsi="Gulliver-Regular"/>
        </w:rPr>
      </w:pPr>
      <w:r w:rsidRPr="004E0A51">
        <w:rPr>
          <w:rFonts w:ascii="Gulliver-Regular" w:hAnsi="Gulliver-Regular"/>
        </w:rPr>
        <w:t xml:space="preserve">Voice and Accountability. This is explained by the level of participation of a country’s citizens in decisions on the government, freedom of speech, </w:t>
      </w:r>
      <w:proofErr w:type="gramStart"/>
      <w:r w:rsidRPr="004E0A51">
        <w:rPr>
          <w:rFonts w:ascii="Gulliver-Regular" w:hAnsi="Gulliver-Regular"/>
        </w:rPr>
        <w:t>association</w:t>
      </w:r>
      <w:proofErr w:type="gramEnd"/>
      <w:r w:rsidRPr="004E0A51">
        <w:rPr>
          <w:rFonts w:ascii="Gulliver-Regular" w:hAnsi="Gulliver-Regular"/>
        </w:rPr>
        <w:t xml:space="preserve"> and media freedom.</w:t>
      </w:r>
    </w:p>
    <w:p w14:paraId="2032A54B" w14:textId="77777777" w:rsidR="004E0A51" w:rsidRPr="004E0A51" w:rsidRDefault="004E0A51" w:rsidP="004E0A51">
      <w:pPr>
        <w:pStyle w:val="a"/>
        <w:ind w:left="360" w:hanging="180"/>
        <w:rPr>
          <w:rFonts w:ascii="Gulliver-Regular" w:hAnsi="Gulliver-Regular"/>
        </w:rPr>
      </w:pPr>
      <w:r w:rsidRPr="004E0A51">
        <w:rPr>
          <w:rFonts w:ascii="Gulliver-Regular" w:hAnsi="Gulliver-Regular"/>
        </w:rPr>
        <w:t xml:space="preserve">Political Stability and Absence of Violence/Terrorism. This indicator indicates, whether citizens perceive </w:t>
      </w:r>
      <w:r w:rsidRPr="004E0A51">
        <w:rPr>
          <w:rFonts w:ascii="Gulliver-Regular" w:hAnsi="Gulliver-Regular"/>
          <w:lang w:bidi="ar-SA"/>
        </w:rPr>
        <w:t>the likelihood of instability, political violence, or terrorism in the country.</w:t>
      </w:r>
    </w:p>
    <w:p w14:paraId="51FBE05F" w14:textId="77777777" w:rsidR="004E0A51" w:rsidRPr="004E0A51" w:rsidRDefault="004E0A51" w:rsidP="004E0A51">
      <w:pPr>
        <w:pStyle w:val="a"/>
        <w:ind w:left="360" w:hanging="180"/>
        <w:rPr>
          <w:rFonts w:ascii="Gulliver-Regular" w:hAnsi="Gulliver-Regular"/>
          <w:lang w:bidi="ar-SA"/>
        </w:rPr>
      </w:pPr>
      <w:r w:rsidRPr="004E0A51">
        <w:rPr>
          <w:rFonts w:ascii="Gulliver-Regular" w:hAnsi="Gulliver-Regular"/>
        </w:rPr>
        <w:t xml:space="preserve">Government Effectiveness. From the tax system perspective, this indicator plays an important role as it reflects how citizens perceive the quality of </w:t>
      </w:r>
      <w:r w:rsidRPr="004E0A51">
        <w:rPr>
          <w:rFonts w:ascii="Gulliver-Regular" w:hAnsi="Gulliver-Regular"/>
          <w:lang w:bidi="ar-SA"/>
        </w:rPr>
        <w:t>public and civil services, the quality of policy, political independence etc.</w:t>
      </w:r>
    </w:p>
    <w:p w14:paraId="46DB8A35" w14:textId="77777777" w:rsidR="004E0A51" w:rsidRPr="004E0A51" w:rsidRDefault="004E0A51" w:rsidP="004E0A51">
      <w:pPr>
        <w:pStyle w:val="a"/>
        <w:ind w:left="360" w:hanging="180"/>
        <w:rPr>
          <w:rFonts w:ascii="Gulliver-Regular" w:hAnsi="Gulliver-Regular"/>
          <w:lang w:bidi="ar-SA"/>
        </w:rPr>
      </w:pPr>
      <w:r w:rsidRPr="004E0A51">
        <w:rPr>
          <w:rFonts w:ascii="Gulliver-Regular" w:hAnsi="Gulliver-Regular"/>
        </w:rPr>
        <w:t xml:space="preserve">Regulatory Quality. This reflects support for commercial sector development through appropriate policies and legislation. </w:t>
      </w:r>
    </w:p>
    <w:p w14:paraId="6F51EA18" w14:textId="1D2CBD18" w:rsidR="004E0A51" w:rsidRPr="004E0A51" w:rsidRDefault="004E0A51" w:rsidP="004E0A51">
      <w:pPr>
        <w:pStyle w:val="a"/>
        <w:ind w:left="360" w:hanging="180"/>
        <w:rPr>
          <w:rFonts w:ascii="Gulliver-Regular" w:hAnsi="Gulliver-Regular"/>
        </w:rPr>
      </w:pPr>
      <w:r w:rsidRPr="004E0A51">
        <w:rPr>
          <w:rFonts w:ascii="Gulliver-Regular" w:hAnsi="Gulliver-Regular"/>
        </w:rPr>
        <w:t xml:space="preserve">Rule of Law. This indicator addresses trust in the law, the police, the judiciary, also the likelihood of crime, violence. </w:t>
      </w:r>
    </w:p>
    <w:p w14:paraId="348E8891" w14:textId="77777777" w:rsidR="004E0A51" w:rsidRPr="004E0A51" w:rsidRDefault="004E0A51" w:rsidP="004E0A51">
      <w:pPr>
        <w:pStyle w:val="a"/>
        <w:ind w:left="360" w:hanging="180"/>
        <w:rPr>
          <w:rFonts w:ascii="Gulliver-Regular" w:hAnsi="Gulliver-Regular"/>
        </w:rPr>
      </w:pPr>
      <w:r w:rsidRPr="004E0A51">
        <w:rPr>
          <w:rFonts w:ascii="Gulliver-Regular" w:hAnsi="Gulliver-Regular"/>
        </w:rPr>
        <w:t xml:space="preserve">Control of Corruption. This indicator expresses how citizens perceive the range over which public power is influenced and corrupted. </w:t>
      </w:r>
    </w:p>
    <w:p w14:paraId="5B19E13D"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results of the paper should contribute to the knowledge on tax evasion, tax avoidance and tax fraud. factors, and the motivation of tax entities to abuse the tax system. </w:t>
      </w:r>
    </w:p>
    <w:p w14:paraId="0AE2D4B4"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rest of the paper proceeds as follows. The following section contains the literature review, section 3 the data used, and the methods. Section 4 explains the results, and the last part contains the conclusion and actionable framework proposals.</w:t>
      </w:r>
    </w:p>
    <w:p w14:paraId="3B06B450" w14:textId="77777777" w:rsidR="004E0A51" w:rsidRPr="004E0A51" w:rsidRDefault="004E0A51" w:rsidP="004E0A51">
      <w:pPr>
        <w:pStyle w:val="Text"/>
        <w:spacing w:before="60" w:after="60"/>
        <w:ind w:firstLine="180"/>
        <w:rPr>
          <w:rFonts w:ascii="Gulliver-Regular" w:hAnsi="Gulliver-Regular"/>
        </w:rPr>
      </w:pPr>
    </w:p>
    <w:p w14:paraId="0B404060" w14:textId="77777777" w:rsidR="004E0A51" w:rsidRPr="004E0A51" w:rsidRDefault="004E0A51" w:rsidP="004E0A51">
      <w:pPr>
        <w:spacing w:before="60" w:after="60"/>
        <w:jc w:val="center"/>
        <w:rPr>
          <w:rFonts w:ascii="Gulliver-Regular" w:hAnsi="Gulliver-Regular"/>
          <w:b/>
          <w:sz w:val="20"/>
        </w:rPr>
      </w:pPr>
      <w:bookmarkStart w:id="3" w:name="_Hlk98338766"/>
      <w:r w:rsidRPr="004E0A51">
        <w:rPr>
          <w:rFonts w:ascii="Gulliver-Regular" w:hAnsi="Gulliver-Regular"/>
          <w:b/>
          <w:sz w:val="20"/>
        </w:rPr>
        <w:t>LITERATURE REVIEW</w:t>
      </w:r>
    </w:p>
    <w:p w14:paraId="3AF25826"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All the tendencies to evade or avoid tax cause the tax gap and, therefore, reduce tax revenues to the state budget and disrupt its redistributive function, which is reflected in the availability and quality of public goods for citizens. </w:t>
      </w:r>
    </w:p>
    <w:p w14:paraId="7E2C8943"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tax gap is defined by the Institute of Financial Policy of the Ministry of Finance in Slovakia as the imbalance between the tax that was paid and the tax that should have been paid if all taxpayers declared their activities and transactions correctly, in accordance with the rules of law and legislators’ notions (</w:t>
      </w:r>
      <w:proofErr w:type="spellStart"/>
      <w:r w:rsidRPr="004E0A51">
        <w:rPr>
          <w:rFonts w:ascii="Gulliver-Regular" w:hAnsi="Gulliver-Regular"/>
        </w:rPr>
        <w:t>Gábik</w:t>
      </w:r>
      <w:proofErr w:type="spellEnd"/>
      <w:r w:rsidRPr="004E0A51">
        <w:rPr>
          <w:rFonts w:ascii="Gulliver-Regular" w:hAnsi="Gulliver-Regular"/>
        </w:rPr>
        <w:t xml:space="preserve"> &amp; </w:t>
      </w:r>
      <w:proofErr w:type="spellStart"/>
      <w:r w:rsidRPr="004E0A51">
        <w:rPr>
          <w:rFonts w:ascii="Gulliver-Regular" w:hAnsi="Gulliver-Regular"/>
        </w:rPr>
        <w:t>Motková</w:t>
      </w:r>
      <w:proofErr w:type="spellEnd"/>
      <w:r w:rsidRPr="004E0A51">
        <w:rPr>
          <w:rFonts w:ascii="Gulliver-Regular" w:hAnsi="Gulliver-Regular"/>
        </w:rPr>
        <w:t xml:space="preserve">, 2019). </w:t>
      </w:r>
      <w:proofErr w:type="spellStart"/>
      <w:r w:rsidRPr="004E0A51">
        <w:rPr>
          <w:rFonts w:ascii="Gulliver-Regular" w:hAnsi="Gulliver-Regular"/>
        </w:rPr>
        <w:t>Bab</w:t>
      </w:r>
      <w:r w:rsidRPr="004E0A51">
        <w:rPr>
          <w:rFonts w:ascii="Cambria" w:hAnsi="Cambria" w:cs="Cambria"/>
        </w:rPr>
        <w:t>č</w:t>
      </w:r>
      <w:r w:rsidRPr="004E0A51">
        <w:rPr>
          <w:rFonts w:ascii="Gulliver-Regular" w:hAnsi="Gulliver-Regular" w:cs="Gulliver-Regular"/>
        </w:rPr>
        <w:t>á</w:t>
      </w:r>
      <w:r w:rsidRPr="004E0A51">
        <w:rPr>
          <w:rFonts w:ascii="Gulliver-Regular" w:hAnsi="Gulliver-Regular"/>
        </w:rPr>
        <w:t>k</w:t>
      </w:r>
      <w:proofErr w:type="spellEnd"/>
      <w:r w:rsidRPr="004E0A51">
        <w:rPr>
          <w:rFonts w:ascii="Gulliver-Regular" w:hAnsi="Gulliver-Regular"/>
        </w:rPr>
        <w:t xml:space="preserve"> (2017) defined it similarly as the imbalance between the tax payable and the amount collected by the national authorities. Not only tax evasion and tax avoidance contribute to the creation of the tax gap, but also administrative errors and bankruptcies also can play an important role. However, statistics on the tax gap provide an essential indicator of the extent of intentional non-compliance. Due to the confidential nature of these activities, together with the lack of estimates in several EU Member States, precise data are not available. To collect comparable data, the </w:t>
      </w:r>
      <w:proofErr w:type="spellStart"/>
      <w:r w:rsidRPr="004E0A51">
        <w:rPr>
          <w:rFonts w:ascii="Gulliver-Regular" w:hAnsi="Gulliver-Regular"/>
        </w:rPr>
        <w:t>FISCALIS</w:t>
      </w:r>
      <w:proofErr w:type="spellEnd"/>
      <w:r w:rsidRPr="004E0A51">
        <w:rPr>
          <w:rFonts w:ascii="Gulliver-Regular" w:hAnsi="Gulliver-Regular"/>
        </w:rPr>
        <w:t xml:space="preserve"> project team was established to promote greater transparency among the Member States </w:t>
      </w:r>
      <w:proofErr w:type="gramStart"/>
      <w:r w:rsidRPr="004E0A51">
        <w:rPr>
          <w:rFonts w:ascii="Gulliver-Regular" w:hAnsi="Gulliver-Regular"/>
        </w:rPr>
        <w:t>in regard to</w:t>
      </w:r>
      <w:proofErr w:type="gramEnd"/>
      <w:r w:rsidRPr="004E0A51">
        <w:rPr>
          <w:rFonts w:ascii="Gulliver-Regular" w:hAnsi="Gulliver-Regular"/>
        </w:rPr>
        <w:t xml:space="preserve"> the data on their national tax revenues and the methods of calculating them (see Regulation of the European Parliament and of the Council No 1286/2013).  </w:t>
      </w:r>
    </w:p>
    <w:p w14:paraId="0D9AB8EB"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Value added tax is an </w:t>
      </w:r>
      <w:proofErr w:type="gramStart"/>
      <w:r w:rsidRPr="004E0A51">
        <w:rPr>
          <w:rFonts w:ascii="Gulliver-Regular" w:hAnsi="Gulliver-Regular"/>
        </w:rPr>
        <w:t>indirect taxes</w:t>
      </w:r>
      <w:proofErr w:type="gramEnd"/>
      <w:r w:rsidRPr="004E0A51">
        <w:rPr>
          <w:rFonts w:ascii="Gulliver-Regular" w:hAnsi="Gulliver-Regular"/>
        </w:rPr>
        <w:t xml:space="preserve"> and is a universal consumption tax by its nature. It represents one of the largest revenues of the state budget. It is harmonized and regulated in the European Union by Council Directive 2006/112/EC on the common system of value added tax, which contains all the mechanisms of operation of the VAT system, which individual countries have transposed into their legal systems.</w:t>
      </w:r>
    </w:p>
    <w:p w14:paraId="03B4C04E"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VAT is the most important general consumption tax in the budget, and it is included in the price of goods and services that consumers or businesses buy. The subject of the tax are four different types of so-called taxable transactions, namely:</w:t>
      </w:r>
    </w:p>
    <w:p w14:paraId="484214E7" w14:textId="77777777" w:rsidR="004E0A51" w:rsidRPr="004E0A51" w:rsidRDefault="004E0A51" w:rsidP="004E0A51">
      <w:pPr>
        <w:pStyle w:val="Text"/>
        <w:numPr>
          <w:ilvl w:val="0"/>
          <w:numId w:val="30"/>
        </w:numPr>
        <w:spacing w:after="0"/>
        <w:ind w:left="360" w:hanging="180"/>
        <w:contextualSpacing/>
        <w:rPr>
          <w:rFonts w:ascii="Gulliver-Regular" w:hAnsi="Gulliver-Regular"/>
        </w:rPr>
      </w:pPr>
      <w:r w:rsidRPr="004E0A51">
        <w:rPr>
          <w:rFonts w:ascii="Gulliver-Regular" w:hAnsi="Gulliver-Regular"/>
        </w:rPr>
        <w:t>the supply of goods for equivalent in the domestic country by a taxable person acting in position of a taxable person,</w:t>
      </w:r>
    </w:p>
    <w:p w14:paraId="2A28ADF9" w14:textId="77777777" w:rsidR="004E0A51" w:rsidRPr="004E0A51" w:rsidRDefault="004E0A51" w:rsidP="004E0A51">
      <w:pPr>
        <w:pStyle w:val="Text"/>
        <w:numPr>
          <w:ilvl w:val="0"/>
          <w:numId w:val="30"/>
        </w:numPr>
        <w:spacing w:after="0"/>
        <w:ind w:left="360" w:hanging="180"/>
        <w:contextualSpacing/>
        <w:rPr>
          <w:rFonts w:ascii="Gulliver-Regular" w:hAnsi="Gulliver-Regular"/>
        </w:rPr>
      </w:pPr>
      <w:r w:rsidRPr="004E0A51">
        <w:rPr>
          <w:rFonts w:ascii="Gulliver-Regular" w:hAnsi="Gulliver-Regular"/>
        </w:rPr>
        <w:t>the supply of a service for equivalent within the domestic territory of the taxable person acting in the position of a taxable person,</w:t>
      </w:r>
    </w:p>
    <w:p w14:paraId="75A6EAF1" w14:textId="77777777" w:rsidR="004E0A51" w:rsidRPr="004E0A51" w:rsidRDefault="004E0A51" w:rsidP="004E0A51">
      <w:pPr>
        <w:pStyle w:val="Text"/>
        <w:numPr>
          <w:ilvl w:val="0"/>
          <w:numId w:val="30"/>
        </w:numPr>
        <w:spacing w:after="0"/>
        <w:ind w:left="360" w:hanging="180"/>
        <w:contextualSpacing/>
        <w:rPr>
          <w:rFonts w:ascii="Gulliver-Regular" w:hAnsi="Gulliver-Regular"/>
        </w:rPr>
      </w:pPr>
      <w:r w:rsidRPr="004E0A51">
        <w:rPr>
          <w:rFonts w:ascii="Gulliver-Regular" w:hAnsi="Gulliver-Regular"/>
        </w:rPr>
        <w:t>acquisition of goods for equivalent in the domestic country from another EU Member State,</w:t>
      </w:r>
    </w:p>
    <w:p w14:paraId="1F901650" w14:textId="77777777" w:rsidR="004E0A51" w:rsidRPr="004E0A51" w:rsidRDefault="004E0A51" w:rsidP="004E0A51">
      <w:pPr>
        <w:pStyle w:val="Text"/>
        <w:numPr>
          <w:ilvl w:val="0"/>
          <w:numId w:val="30"/>
        </w:numPr>
        <w:spacing w:before="60" w:after="60"/>
        <w:ind w:left="360" w:hanging="180"/>
        <w:rPr>
          <w:rFonts w:ascii="Gulliver-Regular" w:hAnsi="Gulliver-Regular"/>
        </w:rPr>
      </w:pPr>
      <w:r w:rsidRPr="004E0A51">
        <w:rPr>
          <w:rFonts w:ascii="Gulliver-Regular" w:hAnsi="Gulliver-Regular"/>
        </w:rPr>
        <w:t>import of goods into the domestic country.</w:t>
      </w:r>
    </w:p>
    <w:p w14:paraId="75B4D127" w14:textId="77777777" w:rsidR="004E0A51" w:rsidRPr="004E0A51" w:rsidRDefault="004E0A51" w:rsidP="004E0A51">
      <w:pPr>
        <w:pStyle w:val="Text"/>
        <w:ind w:firstLine="180"/>
        <w:rPr>
          <w:rFonts w:ascii="Gulliver-Regular" w:hAnsi="Gulliver-Regular"/>
        </w:rPr>
      </w:pPr>
      <w:r w:rsidRPr="004E0A51">
        <w:rPr>
          <w:rFonts w:ascii="Gulliver-Regular" w:hAnsi="Gulliver-Regular"/>
        </w:rPr>
        <w:t>As it is an indirect tax, the tax is not applied by the taxpayer, but the tax liability is passed on to the buyer; however, the tax itself is paid to the state (basically only paid) by the payer or another taxable person - depending on the specific case provided by law. With the VAT, we use the term taxable subject, not the taxpayer. To put it simply, VAT applies primarily to businesses.</w:t>
      </w:r>
    </w:p>
    <w:p w14:paraId="34C8BA0F" w14:textId="77777777" w:rsidR="004E0A51" w:rsidRPr="004E0A51" w:rsidRDefault="004E0A51" w:rsidP="004E0A51">
      <w:pPr>
        <w:pStyle w:val="Text"/>
        <w:spacing w:before="60" w:after="60"/>
        <w:ind w:firstLine="180"/>
        <w:rPr>
          <w:rFonts w:ascii="Gulliver-Regular" w:hAnsi="Gulliver-Regular"/>
        </w:rPr>
      </w:pPr>
      <w:bookmarkStart w:id="4" w:name="_Hlk98336800"/>
      <w:r w:rsidRPr="004E0A51">
        <w:rPr>
          <w:rFonts w:ascii="Gulliver-Regular" w:hAnsi="Gulliver-Regular"/>
        </w:rPr>
        <w:t xml:space="preserve">As the VAT represents the largest share of revenues in the state budget and economic crime in the field of VAT (see </w:t>
      </w:r>
      <w:proofErr w:type="spellStart"/>
      <w:r w:rsidRPr="004E0A51">
        <w:rPr>
          <w:rFonts w:ascii="Gulliver-Regular" w:hAnsi="Gulliver-Regular"/>
        </w:rPr>
        <w:t>Frunza</w:t>
      </w:r>
      <w:proofErr w:type="spellEnd"/>
      <w:r w:rsidRPr="004E0A51">
        <w:rPr>
          <w:rFonts w:ascii="Gulliver-Regular" w:hAnsi="Gulliver-Regular"/>
        </w:rPr>
        <w:t xml:space="preserve">, 2018), the value-added tax gap is the most significant (see </w:t>
      </w:r>
      <w:proofErr w:type="spellStart"/>
      <w:r w:rsidRPr="004E0A51">
        <w:rPr>
          <w:rFonts w:ascii="Gulliver-Regular" w:hAnsi="Gulliver-Regular"/>
        </w:rPr>
        <w:t>Gábik</w:t>
      </w:r>
      <w:proofErr w:type="spellEnd"/>
      <w:r w:rsidRPr="004E0A51">
        <w:rPr>
          <w:rFonts w:ascii="Gulliver-Regular" w:hAnsi="Gulliver-Regular"/>
        </w:rPr>
        <w:t xml:space="preserve"> &amp; </w:t>
      </w:r>
      <w:proofErr w:type="spellStart"/>
      <w:r w:rsidRPr="004E0A51">
        <w:rPr>
          <w:rFonts w:ascii="Gulliver-Regular" w:hAnsi="Gulliver-Regular"/>
        </w:rPr>
        <w:t>Motková</w:t>
      </w:r>
      <w:proofErr w:type="spellEnd"/>
      <w:r w:rsidRPr="004E0A51">
        <w:rPr>
          <w:rFonts w:ascii="Gulliver-Regular" w:hAnsi="Gulliver-Regular"/>
        </w:rPr>
        <w:t>, 2019). In the paper, we use the definition of the VAT gap as a share of the total VAT liability (later only “</w:t>
      </w:r>
      <w:proofErr w:type="spellStart"/>
      <w:r w:rsidRPr="004E0A51">
        <w:rPr>
          <w:rFonts w:ascii="Gulliver-Regular" w:hAnsi="Gulliver-Regular"/>
        </w:rPr>
        <w:t>VTTL</w:t>
      </w:r>
      <w:proofErr w:type="spellEnd"/>
      <w:r w:rsidRPr="004E0A51">
        <w:rPr>
          <w:rFonts w:ascii="Gulliver-Regular" w:hAnsi="Gulliver-Regular"/>
        </w:rPr>
        <w:t xml:space="preserve">”) (CASE, European Commission and </w:t>
      </w:r>
      <w:proofErr w:type="spellStart"/>
      <w:r w:rsidRPr="004E0A51">
        <w:rPr>
          <w:rFonts w:ascii="Gulliver-Regular" w:hAnsi="Gulliver-Regular"/>
        </w:rPr>
        <w:t>Economisti</w:t>
      </w:r>
      <w:proofErr w:type="spellEnd"/>
      <w:r w:rsidRPr="004E0A51">
        <w:rPr>
          <w:rFonts w:ascii="Gulliver-Regular" w:hAnsi="Gulliver-Regular"/>
        </w:rPr>
        <w:t xml:space="preserve"> </w:t>
      </w:r>
      <w:proofErr w:type="spellStart"/>
      <w:r w:rsidRPr="004E0A51">
        <w:rPr>
          <w:rFonts w:ascii="Gulliver-Regular" w:hAnsi="Gulliver-Regular"/>
        </w:rPr>
        <w:t>Associati</w:t>
      </w:r>
      <w:proofErr w:type="spellEnd"/>
      <w:r w:rsidRPr="004E0A51">
        <w:rPr>
          <w:rFonts w:ascii="Gulliver-Regular" w:hAnsi="Gulliver-Regular"/>
        </w:rPr>
        <w:t xml:space="preserve">, 2020). Lazar et al. (2020) assumed that, for the taxpayers, it is crucial what returns to the community after the payment of taxes and, consequently, the government’s spending. Tax morale is higher in the countries where taxpayers are convinced about the integrity of government and, more specifically, the integrity of the tax administration (Awasthi &amp; </w:t>
      </w:r>
      <w:proofErr w:type="spellStart"/>
      <w:r w:rsidRPr="004E0A51">
        <w:rPr>
          <w:rFonts w:ascii="Gulliver-Regular" w:hAnsi="Gulliver-Regular"/>
        </w:rPr>
        <w:t>Bayraktar</w:t>
      </w:r>
      <w:proofErr w:type="spellEnd"/>
      <w:r w:rsidRPr="004E0A51">
        <w:rPr>
          <w:rFonts w:ascii="Gulliver-Regular" w:hAnsi="Gulliver-Regular"/>
        </w:rPr>
        <w:t xml:space="preserve">, 2015). The role of country governance in value added tax revenue was highlighted by Chan &amp; </w:t>
      </w:r>
      <w:proofErr w:type="spellStart"/>
      <w:r w:rsidRPr="004E0A51">
        <w:rPr>
          <w:rFonts w:ascii="Gulliver-Regular" w:hAnsi="Gulliver-Regular"/>
        </w:rPr>
        <w:t>Ramly</w:t>
      </w:r>
      <w:proofErr w:type="spellEnd"/>
      <w:r w:rsidRPr="004E0A51">
        <w:rPr>
          <w:rFonts w:ascii="Gulliver-Regular" w:hAnsi="Gulliver-Regular"/>
        </w:rPr>
        <w:t xml:space="preserve"> (2018). It also is important how the government reacts after revealing financial frauds and corruption (see e. g. Cheng – Ma, 2009). This suggests examining the quality of government in relation to the tax gap, mainly to examine corruption in relation to paying taxes. In countries with systemic corruption, taxpayers do not have much trust in public authorities. They feel cheated and are unwilling to pay taxes (Chan et al., 2018, </w:t>
      </w:r>
      <w:proofErr w:type="spellStart"/>
      <w:r w:rsidRPr="004E0A51">
        <w:rPr>
          <w:rFonts w:ascii="Gulliver-Regular" w:hAnsi="Gulliver-Regular"/>
        </w:rPr>
        <w:t>Torgler</w:t>
      </w:r>
      <w:proofErr w:type="spellEnd"/>
      <w:r w:rsidRPr="004E0A51">
        <w:rPr>
          <w:rFonts w:ascii="Gulliver-Regular" w:hAnsi="Gulliver-Regular"/>
        </w:rPr>
        <w:t xml:space="preserve">, 2001). The study of </w:t>
      </w:r>
      <w:proofErr w:type="spellStart"/>
      <w:r w:rsidRPr="004E0A51">
        <w:rPr>
          <w:rFonts w:ascii="Gulliver-Regular" w:hAnsi="Gulliver-Regular"/>
        </w:rPr>
        <w:t>Vintila</w:t>
      </w:r>
      <w:proofErr w:type="spellEnd"/>
      <w:r w:rsidRPr="004E0A51">
        <w:rPr>
          <w:rFonts w:ascii="Gulliver-Regular" w:hAnsi="Gulliver-Regular"/>
        </w:rPr>
        <w:t xml:space="preserve"> et al. (2021) highlighted the impact of the worldwide governance indicators on economic growth (on the data of OECD countries) and the results are also connected to the suggestion to apply fair taxes. </w:t>
      </w:r>
    </w:p>
    <w:p w14:paraId="128731FA" w14:textId="328F87ED" w:rsidR="004E0A51" w:rsidRDefault="004E0A51" w:rsidP="004E0A51">
      <w:pPr>
        <w:spacing w:before="60" w:after="60"/>
        <w:ind w:firstLine="180"/>
        <w:rPr>
          <w:rFonts w:ascii="Gulliver-Regular" w:hAnsi="Gulliver-Regular"/>
          <w:sz w:val="20"/>
          <w:lang w:val="en-GB"/>
        </w:rPr>
      </w:pPr>
      <w:r w:rsidRPr="004E0A51">
        <w:rPr>
          <w:rFonts w:ascii="Gulliver-Regular" w:hAnsi="Gulliver-Regular"/>
          <w:sz w:val="20"/>
          <w:lang w:val="en-GB"/>
        </w:rPr>
        <w:t xml:space="preserve">Still, there is not much evidence of the impact of the quality of government on tax evasion and tax avoidance in the literature, mainly related to the post socialist countries (see e.g., </w:t>
      </w:r>
      <w:proofErr w:type="spellStart"/>
      <w:r w:rsidRPr="004E0A51">
        <w:rPr>
          <w:rFonts w:ascii="Gulliver-Regular" w:hAnsi="Gulliver-Regular"/>
          <w:sz w:val="20"/>
        </w:rPr>
        <w:t>Hanousek</w:t>
      </w:r>
      <w:proofErr w:type="spellEnd"/>
      <w:r w:rsidRPr="004E0A51">
        <w:rPr>
          <w:rFonts w:ascii="Gulliver-Regular" w:hAnsi="Gulliver-Regular"/>
          <w:sz w:val="20"/>
        </w:rPr>
        <w:t xml:space="preserve"> &amp; </w:t>
      </w:r>
      <w:proofErr w:type="spellStart"/>
      <w:r w:rsidRPr="004E0A51">
        <w:rPr>
          <w:rFonts w:ascii="Gulliver-Regular" w:hAnsi="Gulliver-Regular"/>
          <w:sz w:val="20"/>
        </w:rPr>
        <w:t>Paldda</w:t>
      </w:r>
      <w:proofErr w:type="spellEnd"/>
      <w:r w:rsidRPr="004E0A51">
        <w:rPr>
          <w:rFonts w:ascii="Gulliver-Regular" w:hAnsi="Gulliver-Regular"/>
          <w:sz w:val="20"/>
        </w:rPr>
        <w:t xml:space="preserve">, 2004; </w:t>
      </w:r>
      <w:proofErr w:type="spellStart"/>
      <w:r w:rsidRPr="004E0A51">
        <w:rPr>
          <w:rFonts w:ascii="Gulliver-Regular" w:hAnsi="Gulliver-Regular"/>
          <w:sz w:val="20"/>
        </w:rPr>
        <w:t>Horodnic</w:t>
      </w:r>
      <w:proofErr w:type="spellEnd"/>
      <w:r w:rsidRPr="004E0A51">
        <w:rPr>
          <w:rFonts w:ascii="Gulliver-Regular" w:hAnsi="Gulliver-Regular"/>
          <w:sz w:val="20"/>
        </w:rPr>
        <w:t>, 2018; Sipos, 2015)</w:t>
      </w:r>
      <w:r w:rsidRPr="004E0A51">
        <w:rPr>
          <w:rFonts w:ascii="Gulliver-Regular" w:hAnsi="Gulliver-Regular"/>
          <w:sz w:val="20"/>
          <w:lang w:val="en-GB"/>
        </w:rPr>
        <w:t>; some of the publications present the results only from selected countries of Eastern Europe (</w:t>
      </w:r>
      <w:proofErr w:type="gramStart"/>
      <w:r w:rsidRPr="004E0A51">
        <w:rPr>
          <w:rFonts w:ascii="Gulliver-Regular" w:hAnsi="Gulliver-Regular"/>
          <w:sz w:val="20"/>
          <w:lang w:val="en-GB"/>
        </w:rPr>
        <w:t>e.g.</w:t>
      </w:r>
      <w:proofErr w:type="gramEnd"/>
      <w:r w:rsidRPr="004E0A51">
        <w:rPr>
          <w:rFonts w:ascii="Gulliver-Regular" w:hAnsi="Gulliver-Regular"/>
          <w:sz w:val="20"/>
          <w:lang w:val="en-GB"/>
        </w:rPr>
        <w:t xml:space="preserve"> </w:t>
      </w:r>
      <w:proofErr w:type="spellStart"/>
      <w:r w:rsidRPr="004E0A51">
        <w:rPr>
          <w:rFonts w:ascii="Gulliver-Regular" w:hAnsi="Gulliver-Regular"/>
          <w:sz w:val="20"/>
          <w:lang w:val="en-GB"/>
        </w:rPr>
        <w:t>Daude</w:t>
      </w:r>
      <w:proofErr w:type="spellEnd"/>
      <w:r w:rsidRPr="004E0A51">
        <w:rPr>
          <w:rFonts w:ascii="Gulliver-Regular" w:hAnsi="Gulliver-Regular"/>
          <w:sz w:val="20"/>
          <w:lang w:val="en-GB"/>
        </w:rPr>
        <w:t xml:space="preserve"> et al., 2013). The tax systems in these countries are relatively new, evolving and are in the harmonization process. The political system is only slowly getting rid of past practices that have involved high levels of corruption in these countries. For instance, tariff evasion in relation to the World Bank's Worldwide Governance Indicators were examined by </w:t>
      </w:r>
      <w:proofErr w:type="spellStart"/>
      <w:r w:rsidRPr="004E0A51">
        <w:rPr>
          <w:rFonts w:ascii="Gulliver-Regular" w:hAnsi="Gulliver-Regular"/>
          <w:sz w:val="20"/>
          <w:lang w:val="en-GB"/>
        </w:rPr>
        <w:t>Drenski</w:t>
      </w:r>
      <w:proofErr w:type="spellEnd"/>
      <w:r w:rsidRPr="004E0A51">
        <w:rPr>
          <w:rFonts w:ascii="Gulliver-Regular" w:hAnsi="Gulliver-Regular"/>
          <w:sz w:val="20"/>
          <w:lang w:val="en-GB"/>
        </w:rPr>
        <w:t xml:space="preserve"> et al. (2019), who found that the problems are stronger in the states with higher corruption. </w:t>
      </w:r>
      <w:proofErr w:type="spellStart"/>
      <w:r w:rsidRPr="004E0A51">
        <w:rPr>
          <w:rFonts w:ascii="Gulliver-Regular" w:hAnsi="Gulliver-Regular"/>
          <w:sz w:val="20"/>
          <w:lang w:val="en-GB"/>
        </w:rPr>
        <w:t>Daude</w:t>
      </w:r>
      <w:proofErr w:type="spellEnd"/>
      <w:r w:rsidRPr="004E0A51">
        <w:rPr>
          <w:rFonts w:ascii="Gulliver-Regular" w:hAnsi="Gulliver-Regular"/>
          <w:sz w:val="20"/>
          <w:lang w:val="en-GB"/>
        </w:rPr>
        <w:t xml:space="preserve"> et al. (2013) claimed that the countries surveyed in Eastern Europe (Bulgaria, Moldova, Poland, Romania, Russia, Serbia, </w:t>
      </w:r>
      <w:proofErr w:type="gramStart"/>
      <w:r w:rsidRPr="004E0A51">
        <w:rPr>
          <w:rFonts w:ascii="Gulliver-Regular" w:hAnsi="Gulliver-Regular"/>
          <w:sz w:val="20"/>
          <w:lang w:val="en-GB"/>
        </w:rPr>
        <w:t>Slovenia</w:t>
      </w:r>
      <w:proofErr w:type="gramEnd"/>
      <w:r w:rsidRPr="004E0A51">
        <w:rPr>
          <w:rFonts w:ascii="Gulliver-Regular" w:hAnsi="Gulliver-Regular"/>
          <w:sz w:val="20"/>
          <w:lang w:val="en-GB"/>
        </w:rPr>
        <w:t xml:space="preserve"> and Ukraine) exhibited lower tax morale than other countries of the survey. These authors also examined the relationship between tax morale and perceptions concerning the quality of received public services and confirmed this relationship. The quality of public services was studied as subjective opinions and the indicators of World Values Survey were used. Therefore, the detailed survey of the relationship between tax morale and quality of governance is still needed, and the </w:t>
      </w:r>
      <w:proofErr w:type="spellStart"/>
      <w:r w:rsidRPr="004E0A51">
        <w:rPr>
          <w:rFonts w:ascii="Gulliver-Regular" w:hAnsi="Gulliver-Regular"/>
          <w:sz w:val="20"/>
          <w:lang w:val="en-GB"/>
        </w:rPr>
        <w:t>WGI</w:t>
      </w:r>
      <w:proofErr w:type="spellEnd"/>
      <w:r w:rsidRPr="004E0A51">
        <w:rPr>
          <w:rFonts w:ascii="Gulliver-Regular" w:hAnsi="Gulliver-Regular"/>
          <w:sz w:val="20"/>
          <w:lang w:val="en-GB"/>
        </w:rPr>
        <w:t xml:space="preserve"> indicators could be used for this purpose. Implementation of new technologies, such as e-government, can play an important role, from the point of view of lowering tax evasion and tax avoidance (</w:t>
      </w:r>
      <w:proofErr w:type="spellStart"/>
      <w:r w:rsidRPr="004E0A51">
        <w:rPr>
          <w:rFonts w:ascii="Gulliver-Regular" w:hAnsi="Gulliver-Regular"/>
          <w:sz w:val="20"/>
          <w:lang w:val="en-GB"/>
        </w:rPr>
        <w:t>Olken</w:t>
      </w:r>
      <w:proofErr w:type="spellEnd"/>
      <w:r w:rsidRPr="004E0A51">
        <w:rPr>
          <w:rFonts w:ascii="Gulliver-Regular" w:hAnsi="Gulliver-Regular"/>
          <w:sz w:val="20"/>
          <w:lang w:val="en-GB"/>
        </w:rPr>
        <w:t xml:space="preserve"> &amp; Pande, 2012). Lago-</w:t>
      </w:r>
      <w:proofErr w:type="spellStart"/>
      <w:r w:rsidRPr="004E0A51">
        <w:rPr>
          <w:rFonts w:ascii="Gulliver-Regular" w:hAnsi="Gulliver-Regular"/>
          <w:sz w:val="20"/>
          <w:lang w:val="en-GB"/>
        </w:rPr>
        <w:t>Peñas</w:t>
      </w:r>
      <w:proofErr w:type="spellEnd"/>
      <w:r w:rsidRPr="004E0A51">
        <w:rPr>
          <w:rFonts w:ascii="Gulliver-Regular" w:hAnsi="Gulliver-Regular"/>
          <w:sz w:val="20"/>
          <w:lang w:val="en-GB"/>
        </w:rPr>
        <w:t xml:space="preserve"> </w:t>
      </w:r>
      <w:r w:rsidRPr="004E0A51">
        <w:rPr>
          <w:rFonts w:ascii="Gulliver-Regular" w:hAnsi="Gulliver-Regular" w:cstheme="minorHAnsi"/>
          <w:sz w:val="20"/>
          <w:lang w:val="en-GB"/>
        </w:rPr>
        <w:t>&amp;</w:t>
      </w:r>
      <w:r w:rsidRPr="004E0A51">
        <w:rPr>
          <w:rFonts w:ascii="Gulliver-Regular" w:hAnsi="Gulliver-Regular"/>
          <w:sz w:val="20"/>
          <w:lang w:val="en-GB"/>
        </w:rPr>
        <w:t xml:space="preserve"> Lago-</w:t>
      </w:r>
      <w:proofErr w:type="spellStart"/>
      <w:r w:rsidRPr="004E0A51">
        <w:rPr>
          <w:rFonts w:ascii="Gulliver-Regular" w:hAnsi="Gulliver-Regular"/>
          <w:sz w:val="20"/>
          <w:lang w:val="en-GB"/>
        </w:rPr>
        <w:t>Peñas</w:t>
      </w:r>
      <w:proofErr w:type="spellEnd"/>
      <w:r w:rsidRPr="004E0A51">
        <w:rPr>
          <w:rFonts w:ascii="Gulliver-Regular" w:hAnsi="Gulliver-Regular"/>
          <w:sz w:val="20"/>
          <w:lang w:val="en-GB"/>
        </w:rPr>
        <w:t xml:space="preserve"> (2010) examined tax morale with different independent variables, </w:t>
      </w:r>
      <w:r w:rsidRPr="004E0A51">
        <w:rPr>
          <w:rFonts w:ascii="Gulliver-Regular" w:hAnsi="Gulliver-Regular"/>
          <w:i/>
          <w:iCs/>
          <w:sz w:val="20"/>
          <w:lang w:val="en-GB"/>
        </w:rPr>
        <w:t>inter alia</w:t>
      </w:r>
      <w:r w:rsidRPr="004E0A51">
        <w:rPr>
          <w:rFonts w:ascii="Gulliver-Regular" w:hAnsi="Gulliver-Regular"/>
          <w:sz w:val="20"/>
          <w:lang w:val="en-GB"/>
        </w:rPr>
        <w:t xml:space="preserve"> political attitudes in selected European countries and pointed out that reducing corruption, raising social capital and changes of the tax mix might influence  tax morale in a positive direction. However, only four of the Central and Eastern European countries (later only “CEE countries”) were included in the research (the Czech Republic, Estonia, </w:t>
      </w:r>
      <w:proofErr w:type="gramStart"/>
      <w:r w:rsidRPr="004E0A51">
        <w:rPr>
          <w:rFonts w:ascii="Gulliver-Regular" w:hAnsi="Gulliver-Regular"/>
          <w:sz w:val="20"/>
          <w:lang w:val="en-GB"/>
        </w:rPr>
        <w:t>Poland</w:t>
      </w:r>
      <w:proofErr w:type="gramEnd"/>
      <w:r w:rsidRPr="004E0A51">
        <w:rPr>
          <w:rFonts w:ascii="Gulliver-Regular" w:hAnsi="Gulliver-Regular"/>
          <w:sz w:val="20"/>
          <w:lang w:val="en-GB"/>
        </w:rPr>
        <w:t xml:space="preserve"> and Slovenia), so comprehensive findings for the CEE region cannot be drawn. Another study aimed at tax evasion, corporate social </w:t>
      </w:r>
      <w:proofErr w:type="gramStart"/>
      <w:r w:rsidRPr="004E0A51">
        <w:rPr>
          <w:rFonts w:ascii="Gulliver-Regular" w:hAnsi="Gulliver-Regular"/>
          <w:sz w:val="20"/>
          <w:lang w:val="en-GB"/>
        </w:rPr>
        <w:t>responsibility</w:t>
      </w:r>
      <w:proofErr w:type="gramEnd"/>
      <w:r w:rsidRPr="004E0A51">
        <w:rPr>
          <w:rFonts w:ascii="Gulliver-Regular" w:hAnsi="Gulliver-Regular"/>
          <w:sz w:val="20"/>
          <w:lang w:val="en-GB"/>
        </w:rPr>
        <w:t xml:space="preserve"> and national governance, as measured by the Worldwide Governance Indicators, was conducted by Montenegro (2021) who found out the relationship between the national governance and its effectiveness, rule of law, regulatory quality and control of corruption and tax evasion at the country level (the higher quality of national government, the lower tax evasion). However, it should be noted that the research was aimed at the 25 OECD countries; only one of the CEE states (Poland) was included in the sample. Our paper contributes to the literature by the results concerning the VAT gap from the point of view of the quality of government to in CEE countries that are the members of European Union.</w:t>
      </w:r>
      <w:bookmarkEnd w:id="3"/>
      <w:bookmarkEnd w:id="4"/>
    </w:p>
    <w:p w14:paraId="02F69AE0" w14:textId="77777777" w:rsidR="004E0A51" w:rsidRPr="004E0A51" w:rsidRDefault="004E0A51" w:rsidP="004E0A51">
      <w:pPr>
        <w:spacing w:before="60" w:after="60"/>
        <w:ind w:firstLine="180"/>
        <w:rPr>
          <w:rFonts w:ascii="Gulliver-Regular" w:eastAsia="MS Mincho" w:hAnsi="Gulliver-Regular"/>
          <w:kern w:val="2"/>
          <w:sz w:val="18"/>
          <w:szCs w:val="18"/>
          <w:shd w:val="clear" w:color="auto" w:fill="FFFFFF"/>
          <w:lang w:val="en-GB" w:eastAsia="ja-JP" w:bidi="en-US"/>
        </w:rPr>
      </w:pPr>
    </w:p>
    <w:p w14:paraId="6794FFD6" w14:textId="77777777" w:rsidR="004E0A51" w:rsidRPr="004E0A51" w:rsidRDefault="004E0A51" w:rsidP="004E0A51">
      <w:pPr>
        <w:pStyle w:val="Text"/>
        <w:spacing w:before="60" w:after="60"/>
        <w:jc w:val="center"/>
        <w:rPr>
          <w:rFonts w:ascii="Gulliver-Regular" w:hAnsi="Gulliver-Regular"/>
          <w:b/>
        </w:rPr>
      </w:pPr>
      <w:r w:rsidRPr="004E0A51">
        <w:rPr>
          <w:rFonts w:ascii="Gulliver-Regular" w:hAnsi="Gulliver-Regular"/>
          <w:b/>
        </w:rPr>
        <w:t>METHODOLOGY</w:t>
      </w:r>
    </w:p>
    <w:p w14:paraId="5A27A189"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Our research was based on the data set of selected CEE countries as determined by OECD (OECD, 2001) and at the same time met the condition that they are members of the European Union, </w:t>
      </w:r>
      <w:proofErr w:type="gramStart"/>
      <w:r w:rsidRPr="004E0A51">
        <w:rPr>
          <w:rFonts w:ascii="Gulliver-Regular" w:hAnsi="Gulliver-Regular"/>
        </w:rPr>
        <w:t>in order to</w:t>
      </w:r>
      <w:proofErr w:type="gramEnd"/>
      <w:r w:rsidRPr="004E0A51">
        <w:rPr>
          <w:rFonts w:ascii="Gulliver-Regular" w:hAnsi="Gulliver-Regular"/>
        </w:rPr>
        <w:t xml:space="preserve"> have the necessary data that relate to the tax gap. The following countries were investigated: the Slovak Republic, the Czech Republic, Poland, Hungary, Bulgaria, Romania, Croatia, Slovenia, Latvia, Lithuania, and Estonia.</w:t>
      </w:r>
    </w:p>
    <w:p w14:paraId="3D6CFB15"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This paper's quantitative research used the secondary data of the Worldwide Governance Indicators (later only “</w:t>
      </w:r>
      <w:proofErr w:type="spellStart"/>
      <w:r w:rsidRPr="004E0A51">
        <w:rPr>
          <w:rFonts w:ascii="Gulliver-Regular" w:hAnsi="Gulliver-Regular"/>
        </w:rPr>
        <w:t>WGI</w:t>
      </w:r>
      <w:proofErr w:type="spellEnd"/>
      <w:r w:rsidRPr="004E0A51">
        <w:rPr>
          <w:rFonts w:ascii="Gulliver-Regular" w:hAnsi="Gulliver-Regular"/>
        </w:rPr>
        <w:t xml:space="preserve">”) project reports. These reports summarize governance indicators for more than 200 states and territories from 1996 for all six scopes of governance (The World Bank, 2020). These summary indicators use many different data sources about the attitudes towards the administration and management of a wide range of respondents, i.e., companies, citizens, and professional assessments from all over the world, in both industrial and developing states (Kaufmann et al., 2010). Kaufman et al. (2010) presented a detailed explanation of the indicators in their </w:t>
      </w:r>
      <w:proofErr w:type="spellStart"/>
      <w:r w:rsidRPr="004E0A51">
        <w:rPr>
          <w:rFonts w:ascii="Gulliver-Regular" w:hAnsi="Gulliver-Regular"/>
        </w:rPr>
        <w:t>WGI</w:t>
      </w:r>
      <w:proofErr w:type="spellEnd"/>
      <w:r w:rsidRPr="004E0A51">
        <w:rPr>
          <w:rFonts w:ascii="Gulliver-Regular" w:hAnsi="Gulliver-Regular"/>
        </w:rPr>
        <w:t xml:space="preserve"> methodology work.</w:t>
      </w:r>
    </w:p>
    <w:p w14:paraId="18E92734"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level of the VAT gap (variable) is expressed as a share of </w:t>
      </w:r>
      <w:proofErr w:type="spellStart"/>
      <w:r w:rsidRPr="004E0A51">
        <w:rPr>
          <w:rFonts w:ascii="Gulliver-Regular" w:hAnsi="Gulliver-Regular"/>
        </w:rPr>
        <w:t>VTTL</w:t>
      </w:r>
      <w:proofErr w:type="spellEnd"/>
      <w:r w:rsidRPr="004E0A51">
        <w:rPr>
          <w:rFonts w:ascii="Gulliver-Regular" w:hAnsi="Gulliver-Regular"/>
        </w:rPr>
        <w:t xml:space="preserve">. The VAT gap expression data were used from available reports regarding the EU Member States (CASE and </w:t>
      </w:r>
      <w:proofErr w:type="spellStart"/>
      <w:r w:rsidRPr="004E0A51">
        <w:rPr>
          <w:rFonts w:ascii="Gulliver-Regular" w:hAnsi="Gulliver-Regular"/>
        </w:rPr>
        <w:t>CPB</w:t>
      </w:r>
      <w:proofErr w:type="spellEnd"/>
      <w:r w:rsidRPr="004E0A51">
        <w:rPr>
          <w:rFonts w:ascii="Gulliver-Regular" w:hAnsi="Gulliver-Regular"/>
        </w:rPr>
        <w:t xml:space="preserve">, 2013; CASE and </w:t>
      </w:r>
      <w:proofErr w:type="spellStart"/>
      <w:r w:rsidRPr="004E0A51">
        <w:rPr>
          <w:rFonts w:ascii="Gulliver-Regular" w:hAnsi="Gulliver-Regular"/>
        </w:rPr>
        <w:t>IEB</w:t>
      </w:r>
      <w:proofErr w:type="spellEnd"/>
      <w:r w:rsidRPr="004E0A51">
        <w:rPr>
          <w:rFonts w:ascii="Gulliver-Regular" w:hAnsi="Gulliver-Regular"/>
        </w:rPr>
        <w:t>, 2018; CASE–</w:t>
      </w:r>
      <w:proofErr w:type="spellStart"/>
      <w:r w:rsidRPr="004E0A51">
        <w:rPr>
          <w:rFonts w:ascii="Gulliver-Regular" w:hAnsi="Gulliver-Regular"/>
        </w:rPr>
        <w:t>IEB</w:t>
      </w:r>
      <w:proofErr w:type="spellEnd"/>
      <w:r w:rsidRPr="004E0A51">
        <w:rPr>
          <w:rFonts w:ascii="Gulliver-Regular" w:hAnsi="Gulliver-Regular"/>
        </w:rPr>
        <w:t xml:space="preserve">, 2019; CASE, European Commission and </w:t>
      </w:r>
      <w:proofErr w:type="spellStart"/>
      <w:r w:rsidRPr="004E0A51">
        <w:rPr>
          <w:rFonts w:ascii="Gulliver-Regular" w:hAnsi="Gulliver-Regular"/>
        </w:rPr>
        <w:t>Economisti</w:t>
      </w:r>
      <w:proofErr w:type="spellEnd"/>
      <w:r w:rsidRPr="004E0A51">
        <w:rPr>
          <w:rFonts w:ascii="Gulliver-Regular" w:hAnsi="Gulliver-Regular"/>
        </w:rPr>
        <w:t xml:space="preserve"> </w:t>
      </w:r>
      <w:proofErr w:type="spellStart"/>
      <w:r w:rsidRPr="004E0A51">
        <w:rPr>
          <w:rFonts w:ascii="Gulliver-Regular" w:hAnsi="Gulliver-Regular"/>
        </w:rPr>
        <w:t>Associati</w:t>
      </w:r>
      <w:proofErr w:type="spellEnd"/>
      <w:r w:rsidRPr="004E0A51">
        <w:rPr>
          <w:rFonts w:ascii="Gulliver-Regular" w:hAnsi="Gulliver-Regular"/>
        </w:rPr>
        <w:t>. 2020).</w:t>
      </w:r>
    </w:p>
    <w:p w14:paraId="4391AFCF"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Because of a limited sample size and </w:t>
      </w:r>
      <w:proofErr w:type="spellStart"/>
      <w:r w:rsidRPr="004E0A51">
        <w:rPr>
          <w:rFonts w:ascii="Gulliver-Regular" w:hAnsi="Gulliver-Regular"/>
        </w:rPr>
        <w:t>multicolinearity</w:t>
      </w:r>
      <w:proofErr w:type="spellEnd"/>
      <w:r w:rsidRPr="004E0A51">
        <w:rPr>
          <w:rFonts w:ascii="Gulliver-Regular" w:hAnsi="Gulliver-Regular"/>
        </w:rPr>
        <w:t xml:space="preserve">, bivariate analysis was conducted. Correlation analysis has been used to determine the possible associations between the valuation of the VAT gap and the </w:t>
      </w:r>
      <w:proofErr w:type="spellStart"/>
      <w:r w:rsidRPr="004E0A51">
        <w:rPr>
          <w:rFonts w:ascii="Gulliver-Regular" w:hAnsi="Gulliver-Regular"/>
        </w:rPr>
        <w:t>WGI</w:t>
      </w:r>
      <w:proofErr w:type="spellEnd"/>
      <w:r w:rsidRPr="004E0A51">
        <w:rPr>
          <w:rFonts w:ascii="Gulliver-Regular" w:hAnsi="Gulliver-Regular"/>
        </w:rPr>
        <w:t xml:space="preserve"> indices across selected CEE states. To avoid a possible effect of non-normality, a non-parametric approach was chosen. Spearman's correlation coefficient was used for the estimation of statistical dependence. The strength of the correlation was described according to this guide: </w:t>
      </w:r>
    </w:p>
    <w:p w14:paraId="471281B3" w14:textId="77777777" w:rsidR="004E0A51" w:rsidRPr="004E0A51" w:rsidRDefault="004E0A51" w:rsidP="004E0A51">
      <w:pPr>
        <w:pStyle w:val="Text"/>
        <w:numPr>
          <w:ilvl w:val="0"/>
          <w:numId w:val="32"/>
        </w:numPr>
        <w:spacing w:before="60" w:after="60"/>
        <w:ind w:left="360" w:hanging="180"/>
        <w:rPr>
          <w:rFonts w:ascii="Gulliver-Regular" w:hAnsi="Gulliver-Regular"/>
        </w:rPr>
      </w:pPr>
      <w:r w:rsidRPr="004E0A51">
        <w:rPr>
          <w:rFonts w:ascii="Gulliver-Regular" w:hAnsi="Gulliver-Regular"/>
        </w:rPr>
        <w:t>“</w:t>
      </w:r>
      <w:proofErr w:type="gramStart"/>
      <w:r w:rsidRPr="004E0A51">
        <w:rPr>
          <w:rFonts w:ascii="Gulliver-Regular" w:hAnsi="Gulliver-Regular"/>
        </w:rPr>
        <w:t>very</w:t>
      </w:r>
      <w:proofErr w:type="gramEnd"/>
      <w:r w:rsidRPr="004E0A51">
        <w:rPr>
          <w:rFonts w:ascii="Gulliver-Regular" w:hAnsi="Gulliver-Regular"/>
        </w:rPr>
        <w:t xml:space="preserve"> weak” (absolute value from .00 to .19),</w:t>
      </w:r>
    </w:p>
    <w:p w14:paraId="2C068047" w14:textId="77777777" w:rsidR="004E0A51" w:rsidRPr="004E0A51" w:rsidRDefault="004E0A51" w:rsidP="004E0A51">
      <w:pPr>
        <w:pStyle w:val="Text"/>
        <w:numPr>
          <w:ilvl w:val="0"/>
          <w:numId w:val="32"/>
        </w:numPr>
        <w:spacing w:before="60" w:after="60"/>
        <w:ind w:left="360" w:hanging="180"/>
        <w:rPr>
          <w:rFonts w:ascii="Gulliver-Regular" w:hAnsi="Gulliver-Regular"/>
        </w:rPr>
      </w:pPr>
      <w:r w:rsidRPr="004E0A51">
        <w:rPr>
          <w:rFonts w:ascii="Gulliver-Regular" w:hAnsi="Gulliver-Regular"/>
        </w:rPr>
        <w:t>“weak” (from .20 to .39),</w:t>
      </w:r>
    </w:p>
    <w:p w14:paraId="1073EBE1" w14:textId="77777777" w:rsidR="004E0A51" w:rsidRPr="004E0A51" w:rsidRDefault="004E0A51" w:rsidP="004E0A51">
      <w:pPr>
        <w:pStyle w:val="Text"/>
        <w:numPr>
          <w:ilvl w:val="0"/>
          <w:numId w:val="32"/>
        </w:numPr>
        <w:spacing w:before="60" w:after="60"/>
        <w:ind w:left="360" w:hanging="180"/>
        <w:rPr>
          <w:rFonts w:ascii="Gulliver-Regular" w:hAnsi="Gulliver-Regular"/>
        </w:rPr>
      </w:pPr>
      <w:r w:rsidRPr="004E0A51">
        <w:rPr>
          <w:rFonts w:ascii="Gulliver-Regular" w:hAnsi="Gulliver-Regular"/>
        </w:rPr>
        <w:t xml:space="preserve">“moderate” (from .40 to .59) (*), </w:t>
      </w:r>
    </w:p>
    <w:p w14:paraId="4A2CC02C" w14:textId="77777777" w:rsidR="004E0A51" w:rsidRPr="004E0A51" w:rsidRDefault="004E0A51" w:rsidP="004E0A51">
      <w:pPr>
        <w:pStyle w:val="Text"/>
        <w:numPr>
          <w:ilvl w:val="0"/>
          <w:numId w:val="32"/>
        </w:numPr>
        <w:spacing w:before="60" w:after="60"/>
        <w:ind w:left="360" w:hanging="180"/>
        <w:rPr>
          <w:rFonts w:ascii="Gulliver-Regular" w:hAnsi="Gulliver-Regular"/>
        </w:rPr>
      </w:pPr>
      <w:r w:rsidRPr="004E0A51">
        <w:rPr>
          <w:rFonts w:ascii="Gulliver-Regular" w:hAnsi="Gulliver-Regular"/>
        </w:rPr>
        <w:t>“strong” (from .60 to 0.79) (**), and</w:t>
      </w:r>
    </w:p>
    <w:p w14:paraId="31D542FC" w14:textId="77777777" w:rsidR="004E0A51" w:rsidRPr="004E0A51" w:rsidRDefault="004E0A51" w:rsidP="004E0A51">
      <w:pPr>
        <w:pStyle w:val="Text"/>
        <w:numPr>
          <w:ilvl w:val="0"/>
          <w:numId w:val="32"/>
        </w:numPr>
        <w:spacing w:before="60" w:after="60"/>
        <w:ind w:left="360" w:hanging="180"/>
        <w:rPr>
          <w:rFonts w:ascii="Gulliver-Regular" w:hAnsi="Gulliver-Regular"/>
        </w:rPr>
      </w:pPr>
      <w:r w:rsidRPr="004E0A51">
        <w:rPr>
          <w:rFonts w:ascii="Gulliver-Regular" w:hAnsi="Gulliver-Regular"/>
        </w:rPr>
        <w:t>“</w:t>
      </w:r>
      <w:proofErr w:type="gramStart"/>
      <w:r w:rsidRPr="004E0A51">
        <w:rPr>
          <w:rFonts w:ascii="Gulliver-Regular" w:hAnsi="Gulliver-Regular"/>
        </w:rPr>
        <w:t>very</w:t>
      </w:r>
      <w:proofErr w:type="gramEnd"/>
      <w:r w:rsidRPr="004E0A51">
        <w:rPr>
          <w:rFonts w:ascii="Gulliver-Regular" w:hAnsi="Gulliver-Regular"/>
        </w:rPr>
        <w:t xml:space="preserve"> strong” (from .80 to 1.0) (***). </w:t>
      </w:r>
    </w:p>
    <w:p w14:paraId="5D777FB5"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p-value represents the probability that we would have found a present result if the correlation coefficient was zero (null hypothesis). If this probability is lower than the significance level alpha 5% (P&lt;0.05), we consider the correlation coefficient to be statistically significant. Correlations are calculated for each country. To reiterate, asterisks are used to denote the strength of the correlation, not to visualize p-values. The sample size is 19 for most of the countries but </w:t>
      </w:r>
      <w:proofErr w:type="spellStart"/>
      <w:r w:rsidRPr="004E0A51">
        <w:rPr>
          <w:rFonts w:ascii="Gulliver-Regular" w:hAnsi="Gulliver-Regular"/>
        </w:rPr>
        <w:t>VTTL</w:t>
      </w:r>
      <w:proofErr w:type="spellEnd"/>
      <w:r w:rsidRPr="004E0A51">
        <w:rPr>
          <w:rFonts w:ascii="Gulliver-Regular" w:hAnsi="Gulliver-Regular"/>
        </w:rPr>
        <w:t xml:space="preserve"> for Croatia and Slovenia is available only since 2014; therefore, sample size (N) is provided in Tables 2-7. IBM SPSS 22 was used for the calculations.</w:t>
      </w:r>
    </w:p>
    <w:p w14:paraId="4C6B2B81" w14:textId="77777777" w:rsidR="004E0A51" w:rsidRPr="004E0A51" w:rsidRDefault="004E0A51" w:rsidP="004E0A51">
      <w:pPr>
        <w:pStyle w:val="Text"/>
        <w:spacing w:before="60" w:after="60"/>
        <w:ind w:firstLine="180"/>
        <w:rPr>
          <w:rFonts w:ascii="Gulliver-Regular" w:hAnsi="Gulliver-Regular"/>
        </w:rPr>
      </w:pPr>
    </w:p>
    <w:p w14:paraId="4670CB28" w14:textId="77777777" w:rsidR="004E0A51" w:rsidRPr="004E0A51" w:rsidRDefault="004E0A51" w:rsidP="004E0A51">
      <w:pPr>
        <w:pStyle w:val="Text"/>
        <w:spacing w:before="60" w:after="60"/>
        <w:jc w:val="center"/>
        <w:rPr>
          <w:rFonts w:ascii="Gulliver-Regular" w:hAnsi="Gulliver-Regular"/>
          <w:b/>
        </w:rPr>
      </w:pPr>
      <w:r w:rsidRPr="004E0A51">
        <w:rPr>
          <w:rFonts w:ascii="Gulliver-Regular" w:hAnsi="Gulliver-Regular"/>
          <w:b/>
        </w:rPr>
        <w:t>RESULTS AND DISCUSSION</w:t>
      </w:r>
    </w:p>
    <w:p w14:paraId="702E8875"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VAT rates are presented in Table 1 as the standard and reduced VAT rate. However, a reduced VAT rate can affect taxpayers in the tendency to comply with tax regulations or discourage them to tax evasion and tax avoidance.</w:t>
      </w:r>
    </w:p>
    <w:p w14:paraId="4435E2EB" w14:textId="77777777" w:rsidR="004E0A51" w:rsidRPr="004E0A51" w:rsidRDefault="004E0A51" w:rsidP="004E0A51">
      <w:pPr>
        <w:pStyle w:val="Text"/>
        <w:spacing w:before="60" w:after="60"/>
        <w:rPr>
          <w:rFonts w:ascii="Gulliver-Regular" w:hAnsi="Gulliver-Regular"/>
        </w:rPr>
      </w:pPr>
    </w:p>
    <w:p w14:paraId="624F394B"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1:</w:t>
      </w:r>
      <w:r w:rsidRPr="004E0A51">
        <w:rPr>
          <w:rFonts w:ascii="Gulliver-Regular" w:hAnsi="Gulliver-Regular"/>
        </w:rPr>
        <w:t xml:space="preserve"> VAT rates (for selected CEE countries), update 1.1.2021 (in %)</w:t>
      </w:r>
    </w:p>
    <w:tbl>
      <w:tblPr>
        <w:tblStyle w:val="Tabukasmriekou1svetl1"/>
        <w:tblW w:w="4675" w:type="dxa"/>
        <w:tblInd w:w="0" w:type="dxa"/>
        <w:tblLayout w:type="fixed"/>
        <w:tblLook w:val="04A0" w:firstRow="1" w:lastRow="0" w:firstColumn="1" w:lastColumn="0" w:noHBand="0" w:noVBand="1"/>
      </w:tblPr>
      <w:tblGrid>
        <w:gridCol w:w="2245"/>
        <w:gridCol w:w="1440"/>
        <w:gridCol w:w="990"/>
      </w:tblGrid>
      <w:tr w:rsidR="004E0A51" w:rsidRPr="004E0A51" w14:paraId="2D377928" w14:textId="77777777" w:rsidTr="004E0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455EFFB" w14:textId="77777777" w:rsidR="004E0A51" w:rsidRPr="004E0A51" w:rsidRDefault="004E0A51">
            <w:pPr>
              <w:spacing w:after="0"/>
              <w:jc w:val="center"/>
              <w:rPr>
                <w:rFonts w:ascii="Gulliver-Regular" w:hAnsi="Gulliver-Regular"/>
                <w:sz w:val="20"/>
                <w:lang w:val="en-GB"/>
              </w:rPr>
            </w:pPr>
            <w:r w:rsidRPr="004E0A51">
              <w:rPr>
                <w:rFonts w:ascii="Gulliver-Regular" w:hAnsi="Gulliver-Regular"/>
                <w:sz w:val="20"/>
                <w:lang w:val="en-GB"/>
              </w:rPr>
              <w:t>Member State</w:t>
            </w:r>
          </w:p>
        </w:tc>
        <w:tc>
          <w:tcPr>
            <w:tcW w:w="14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FE41BB8"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Standard Rate</w:t>
            </w:r>
          </w:p>
        </w:tc>
        <w:tc>
          <w:tcPr>
            <w:tcW w:w="9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D0829C7"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Reduced Rate*</w:t>
            </w:r>
          </w:p>
        </w:tc>
      </w:tr>
      <w:tr w:rsidR="004E0A51" w:rsidRPr="004E0A51" w14:paraId="02494362"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FC068"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Bulgaria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F53D8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20</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47606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9</w:t>
            </w:r>
          </w:p>
        </w:tc>
      </w:tr>
      <w:tr w:rsidR="004E0A51" w:rsidRPr="004E0A51" w14:paraId="6296F3CC"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FAAA76B"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 xml:space="preserve">Czech Republic </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E5A32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21</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B082C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10 / 15</w:t>
            </w:r>
          </w:p>
        </w:tc>
      </w:tr>
      <w:tr w:rsidR="004E0A51" w:rsidRPr="004E0A51" w14:paraId="20C0A779"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13C694"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Estonia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B6041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20</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C6D40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9</w:t>
            </w:r>
          </w:p>
        </w:tc>
      </w:tr>
      <w:tr w:rsidR="004E0A51" w:rsidRPr="004E0A51" w14:paraId="48C2CEA0"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9E596C4"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Croatia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D5A47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25</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1312B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5 / 13</w:t>
            </w:r>
          </w:p>
        </w:tc>
      </w:tr>
      <w:tr w:rsidR="004E0A51" w:rsidRPr="004E0A51" w14:paraId="48540238"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7DB49A"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Latvia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86680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21</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52174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12 / 5</w:t>
            </w:r>
          </w:p>
        </w:tc>
      </w:tr>
      <w:tr w:rsidR="004E0A51" w:rsidRPr="004E0A51" w14:paraId="5CE442BF"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E5E8BF"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Lithuania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1ECF6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21</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06E74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5 / 9</w:t>
            </w:r>
          </w:p>
        </w:tc>
      </w:tr>
      <w:tr w:rsidR="004E0A51" w:rsidRPr="004E0A51" w14:paraId="6946E41A"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E1880E"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Hungary</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2D65C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27</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A6D50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5 / 18</w:t>
            </w:r>
          </w:p>
        </w:tc>
      </w:tr>
      <w:tr w:rsidR="004E0A51" w:rsidRPr="004E0A51" w14:paraId="40034FC9"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A997A1"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Poland</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2AE1B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23</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2113D9"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5 / 8</w:t>
            </w:r>
          </w:p>
        </w:tc>
      </w:tr>
      <w:tr w:rsidR="004E0A51" w:rsidRPr="004E0A51" w14:paraId="64F29757"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18B7D9"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Romania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1D3E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19</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3B171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5 / 9</w:t>
            </w:r>
          </w:p>
        </w:tc>
      </w:tr>
      <w:tr w:rsidR="004E0A51" w:rsidRPr="004E0A51" w14:paraId="67672D2C"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A4C7CF"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Slovenia</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23CE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22</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237F2B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9,5</w:t>
            </w:r>
          </w:p>
        </w:tc>
      </w:tr>
      <w:tr w:rsidR="004E0A51" w:rsidRPr="004E0A51" w14:paraId="602CBA59" w14:textId="77777777" w:rsidTr="004E0A51">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3CD0F7" w14:textId="77777777" w:rsidR="004E0A51" w:rsidRPr="004E0A51" w:rsidRDefault="004E0A51">
            <w:pPr>
              <w:autoSpaceDE w:val="0"/>
              <w:autoSpaceDN w:val="0"/>
              <w:adjustRightInd w:val="0"/>
              <w:spacing w:after="0"/>
              <w:rPr>
                <w:rFonts w:ascii="Gulliver-Regular" w:hAnsi="Gulliver-Regular"/>
                <w:b w:val="0"/>
                <w:bCs w:val="0"/>
                <w:sz w:val="20"/>
                <w:lang w:val="en-GB"/>
              </w:rPr>
            </w:pPr>
            <w:r w:rsidRPr="004E0A51">
              <w:rPr>
                <w:rFonts w:ascii="Gulliver-Regular" w:hAnsi="Gulliver-Regular"/>
                <w:b w:val="0"/>
                <w:bCs w:val="0"/>
                <w:sz w:val="20"/>
                <w:lang w:val="en-GB"/>
              </w:rPr>
              <w:t>Slovak Republic</w:t>
            </w:r>
          </w:p>
        </w:tc>
        <w:tc>
          <w:tcPr>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2987B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20</w:t>
            </w:r>
          </w:p>
        </w:tc>
        <w:tc>
          <w:tcPr>
            <w:tcW w:w="9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8487E9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10</w:t>
            </w:r>
          </w:p>
        </w:tc>
      </w:tr>
    </w:tbl>
    <w:p w14:paraId="2EF5C638" w14:textId="67139BD4" w:rsidR="004E0A51" w:rsidRPr="004E0A51" w:rsidRDefault="004E0A51" w:rsidP="004E0A51">
      <w:pPr>
        <w:pStyle w:val="Text"/>
        <w:spacing w:before="60" w:after="60"/>
        <w:rPr>
          <w:rFonts w:ascii="Gulliver-Regular" w:hAnsi="Gulliver-Regular"/>
        </w:rPr>
      </w:pPr>
      <w:r w:rsidRPr="004E0A51">
        <w:rPr>
          <w:rFonts w:ascii="Gulliver-Regular" w:hAnsi="Gulliver-Regular"/>
        </w:rPr>
        <w:t>*If only one value is given, one reduced VAT rate applies. If two values are given, two different reduced VAT rates apply.</w:t>
      </w:r>
    </w:p>
    <w:p w14:paraId="25C21CAD"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analysis</w:t>
      </w:r>
      <w:r w:rsidRPr="004E0A51">
        <w:rPr>
          <w:rFonts w:ascii="Gulliver-Regular" w:hAnsi="Gulliver-Regular"/>
        </w:rPr>
        <w:t>, 2021, data: European Union (2021).</w:t>
      </w:r>
    </w:p>
    <w:p w14:paraId="22D2D385" w14:textId="77777777" w:rsidR="004E0A51" w:rsidRPr="004E0A51" w:rsidRDefault="004E0A51" w:rsidP="004E0A51">
      <w:pPr>
        <w:pStyle w:val="Text"/>
        <w:spacing w:before="60" w:after="60"/>
        <w:ind w:firstLine="180"/>
        <w:rPr>
          <w:rFonts w:ascii="Gulliver-Regular" w:hAnsi="Gulliver-Regular"/>
        </w:rPr>
      </w:pPr>
    </w:p>
    <w:p w14:paraId="0D09516A"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standard rate of VAT ranges from 19% in Romania to 27% in Hungary, reduced rates from 5% (which is the minimum under the Council Directive 2006/112/EC) to 18% (see also Olexová &amp; </w:t>
      </w:r>
      <w:proofErr w:type="spellStart"/>
      <w:r w:rsidRPr="004E0A51">
        <w:rPr>
          <w:rFonts w:ascii="Gulliver-Regular" w:hAnsi="Gulliver-Regular"/>
        </w:rPr>
        <w:t>Hus</w:t>
      </w:r>
      <w:r w:rsidRPr="004E0A51">
        <w:rPr>
          <w:rFonts w:ascii="Cambria" w:hAnsi="Cambria" w:cs="Cambria"/>
        </w:rPr>
        <w:t>ť</w:t>
      </w:r>
      <w:r w:rsidRPr="004E0A51">
        <w:rPr>
          <w:rFonts w:ascii="Gulliver-Regular" w:hAnsi="Gulliver-Regular" w:cs="Gulliver-Regular"/>
        </w:rPr>
        <w:t>á</w:t>
      </w:r>
      <w:r w:rsidRPr="004E0A51">
        <w:rPr>
          <w:rFonts w:ascii="Gulliver-Regular" w:hAnsi="Gulliver-Regular"/>
        </w:rPr>
        <w:t>k</w:t>
      </w:r>
      <w:proofErr w:type="spellEnd"/>
      <w:r w:rsidRPr="004E0A51">
        <w:rPr>
          <w:rFonts w:ascii="Gulliver-Regular" w:hAnsi="Gulliver-Regular"/>
        </w:rPr>
        <w:t>, 2018, on the tax harmonization process in the EU as a part of global trends).</w:t>
      </w:r>
    </w:p>
    <w:p w14:paraId="3984F68C" w14:textId="4773E214"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Individual countries have several VAT rates, and some countries have two reduced rates; only Slovakia (10%), Bulgaria (9%), Estonia (9%), and Slovenia (9.5%) have one reduced rate. Therefore, it is difficult to evaluate the tax load when comparing the countries. To be precise, the countries do not apply the super reduced and parking VAT rates.</w:t>
      </w:r>
    </w:p>
    <w:p w14:paraId="3CF324B0"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VAT gap for the period from 2000 to 2018 and the tax gap estimate for 2019 in selected CEE countries are presented in Figure 1.</w:t>
      </w:r>
    </w:p>
    <w:p w14:paraId="56D346E2" w14:textId="43B4F6C7" w:rsidR="004E0A51" w:rsidRDefault="004E0A51" w:rsidP="004E0A51">
      <w:pPr>
        <w:pStyle w:val="Text"/>
        <w:spacing w:before="60" w:after="60"/>
        <w:ind w:firstLine="180"/>
        <w:rPr>
          <w:rFonts w:ascii="Gulliver-Regular" w:hAnsi="Gulliver-Regular"/>
        </w:rPr>
      </w:pPr>
    </w:p>
    <w:p w14:paraId="7287DDD2" w14:textId="77777777" w:rsidR="004E0A51" w:rsidRDefault="004E0A51" w:rsidP="004E0A51">
      <w:pPr>
        <w:pStyle w:val="Text"/>
        <w:spacing w:before="60" w:after="60"/>
        <w:ind w:firstLine="180"/>
        <w:rPr>
          <w:rFonts w:ascii="Gulliver-Regular" w:hAnsi="Gulliver-Regular"/>
        </w:rPr>
        <w:sectPr w:rsidR="004E0A51" w:rsidSect="000F18FD">
          <w:type w:val="continuous"/>
          <w:pgSz w:w="12240" w:h="15840" w:code="1"/>
          <w:pgMar w:top="1440" w:right="1440" w:bottom="864" w:left="1440" w:header="576" w:footer="432" w:gutter="0"/>
          <w:cols w:num="2" w:space="425"/>
          <w:docGrid w:linePitch="299"/>
        </w:sectPr>
      </w:pPr>
    </w:p>
    <w:p w14:paraId="106BFE26" w14:textId="77777777" w:rsidR="004E0A51" w:rsidRPr="004E0A51" w:rsidRDefault="004E0A51" w:rsidP="004E0A51">
      <w:pPr>
        <w:pStyle w:val="Text"/>
        <w:spacing w:before="60" w:after="60"/>
        <w:ind w:firstLine="180"/>
        <w:rPr>
          <w:rFonts w:ascii="Gulliver-Regular" w:hAnsi="Gulliver-Regular"/>
        </w:rPr>
      </w:pPr>
    </w:p>
    <w:p w14:paraId="025328DE" w14:textId="5F3639CC" w:rsidR="004E0A51" w:rsidRPr="004E0A51" w:rsidRDefault="004E0A51" w:rsidP="004E0A51">
      <w:pPr>
        <w:pStyle w:val="Text"/>
        <w:spacing w:before="60" w:after="60"/>
        <w:jc w:val="left"/>
        <w:rPr>
          <w:rFonts w:ascii="Gulliver-Regular" w:hAnsi="Gulliver-Regular"/>
        </w:rPr>
      </w:pPr>
      <w:r w:rsidRPr="004E0A51">
        <w:rPr>
          <w:rFonts w:ascii="Gulliver-Regular" w:hAnsi="Gulliver-Regular"/>
          <w:noProof/>
        </w:rPr>
        <w:drawing>
          <wp:inline distT="0" distB="0" distL="0" distR="0" wp14:anchorId="4BE7F838" wp14:editId="154B15B4">
            <wp:extent cx="5989519" cy="302895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58" cy="3039438"/>
                    </a:xfrm>
                    <a:prstGeom prst="rect">
                      <a:avLst/>
                    </a:prstGeom>
                    <a:noFill/>
                    <a:ln>
                      <a:noFill/>
                    </a:ln>
                  </pic:spPr>
                </pic:pic>
              </a:graphicData>
            </a:graphic>
          </wp:inline>
        </w:drawing>
      </w:r>
    </w:p>
    <w:p w14:paraId="4B537B2E"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b/>
          <w:bCs/>
        </w:rPr>
        <w:t>Figure 1:</w:t>
      </w:r>
      <w:r w:rsidRPr="004E0A51">
        <w:rPr>
          <w:rFonts w:ascii="Gulliver-Regular" w:hAnsi="Gulliver-Regular"/>
        </w:rPr>
        <w:t xml:space="preserve"> Trend of the VAT gap (per cent of </w:t>
      </w:r>
      <w:proofErr w:type="spellStart"/>
      <w:r w:rsidRPr="004E0A51">
        <w:rPr>
          <w:rFonts w:ascii="Gulliver-Regular" w:hAnsi="Gulliver-Regular"/>
        </w:rPr>
        <w:t>VTTL</w:t>
      </w:r>
      <w:proofErr w:type="spellEnd"/>
      <w:r w:rsidRPr="004E0A51">
        <w:rPr>
          <w:rFonts w:ascii="Gulliver-Regular" w:hAnsi="Gulliver-Regular"/>
        </w:rPr>
        <w:t xml:space="preserve">) in </w:t>
      </w:r>
      <w:proofErr w:type="spellStart"/>
      <w:r w:rsidRPr="004E0A51">
        <w:rPr>
          <w:rFonts w:ascii="Gulliver-Regular" w:hAnsi="Gulliver-Regular"/>
        </w:rPr>
        <w:t>analysed</w:t>
      </w:r>
      <w:proofErr w:type="spellEnd"/>
      <w:r w:rsidRPr="004E0A51">
        <w:rPr>
          <w:rFonts w:ascii="Gulliver-Regular" w:hAnsi="Gulliver-Regular"/>
        </w:rPr>
        <w:t xml:space="preserve"> CEE countries (2000 – 2019)</w:t>
      </w:r>
    </w:p>
    <w:p w14:paraId="5CA965D5"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Note: 2019 - the VAT gap estimates.</w:t>
      </w:r>
    </w:p>
    <w:p w14:paraId="69B49037"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analysis</w:t>
      </w:r>
      <w:r w:rsidRPr="004E0A51">
        <w:rPr>
          <w:rFonts w:ascii="Gulliver-Regular" w:hAnsi="Gulliver-Regular"/>
        </w:rPr>
        <w:t xml:space="preserve">, 2021; data (CASE and </w:t>
      </w:r>
      <w:proofErr w:type="spellStart"/>
      <w:r w:rsidRPr="004E0A51">
        <w:rPr>
          <w:rFonts w:ascii="Gulliver-Regular" w:hAnsi="Gulliver-Regular"/>
        </w:rPr>
        <w:t>CPB</w:t>
      </w:r>
      <w:proofErr w:type="spellEnd"/>
      <w:r w:rsidRPr="004E0A51">
        <w:rPr>
          <w:rFonts w:ascii="Gulliver-Regular" w:hAnsi="Gulliver-Regular"/>
        </w:rPr>
        <w:t xml:space="preserve">, 2013; CASE and </w:t>
      </w:r>
      <w:proofErr w:type="spellStart"/>
      <w:r w:rsidRPr="004E0A51">
        <w:rPr>
          <w:rFonts w:ascii="Gulliver-Regular" w:hAnsi="Gulliver-Regular"/>
        </w:rPr>
        <w:t>IEB</w:t>
      </w:r>
      <w:proofErr w:type="spellEnd"/>
      <w:r w:rsidRPr="004E0A51">
        <w:rPr>
          <w:rFonts w:ascii="Gulliver-Regular" w:hAnsi="Gulliver-Regular"/>
        </w:rPr>
        <w:t>, 2018; CASE–</w:t>
      </w:r>
      <w:proofErr w:type="spellStart"/>
      <w:r w:rsidRPr="004E0A51">
        <w:rPr>
          <w:rFonts w:ascii="Gulliver-Regular" w:hAnsi="Gulliver-Regular"/>
        </w:rPr>
        <w:t>IEB</w:t>
      </w:r>
      <w:proofErr w:type="spellEnd"/>
      <w:r w:rsidRPr="004E0A51">
        <w:rPr>
          <w:rFonts w:ascii="Gulliver-Regular" w:hAnsi="Gulliver-Regular"/>
        </w:rPr>
        <w:t xml:space="preserve">, 2019; CASE, European Commission and </w:t>
      </w:r>
      <w:proofErr w:type="spellStart"/>
      <w:r w:rsidRPr="004E0A51">
        <w:rPr>
          <w:rFonts w:ascii="Gulliver-Regular" w:hAnsi="Gulliver-Regular"/>
        </w:rPr>
        <w:t>Economisti</w:t>
      </w:r>
      <w:proofErr w:type="spellEnd"/>
      <w:r w:rsidRPr="004E0A51">
        <w:rPr>
          <w:rFonts w:ascii="Gulliver-Regular" w:hAnsi="Gulliver-Regular"/>
        </w:rPr>
        <w:t xml:space="preserve"> </w:t>
      </w:r>
      <w:proofErr w:type="spellStart"/>
      <w:r w:rsidRPr="004E0A51">
        <w:rPr>
          <w:rFonts w:ascii="Gulliver-Regular" w:hAnsi="Gulliver-Regular"/>
        </w:rPr>
        <w:t>Associati</w:t>
      </w:r>
      <w:proofErr w:type="spellEnd"/>
      <w:r w:rsidRPr="004E0A51">
        <w:rPr>
          <w:rFonts w:ascii="Gulliver-Regular" w:hAnsi="Gulliver-Regular"/>
        </w:rPr>
        <w:t>, 2020).</w:t>
      </w:r>
    </w:p>
    <w:p w14:paraId="4F0D8724" w14:textId="1A01A0B8" w:rsidR="004E0A51" w:rsidRDefault="004E0A51" w:rsidP="004E0A51">
      <w:pPr>
        <w:pStyle w:val="Text"/>
        <w:spacing w:before="60" w:after="60"/>
        <w:ind w:firstLine="180"/>
        <w:rPr>
          <w:rFonts w:ascii="Gulliver-Regular" w:hAnsi="Gulliver-Regular"/>
        </w:rPr>
      </w:pPr>
    </w:p>
    <w:p w14:paraId="6155A76A"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55063EE7" w14:textId="08BC359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VAT gap in selected EU countries in Central and Eastern Europe has been gradually declining, on average from 27.2% in 2009 to 12.95% in 2018 and is further estimated to decrease to 11.28% in 2019. Within the selected group of countries, Croatia and Slovenia had the lowest tax gap in the estimate (available data from 2014). On the other hand, Romania had the highest tax gap in the long-term view (although the development is favorable and the VAT gap decreased from almost 50% to about 34%), and the same applies to Lithuania. </w:t>
      </w:r>
    </w:p>
    <w:p w14:paraId="6BA8010D"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Since 2018, a significant decline in the tax gap can be observed in several countries, e.g., Hungary (from 13.5% in 2014 to 8.4% in 2018, and a further decrease is estimated in 2019, 6.6%). The VAT gap also decreased in Latvia (from 13.9% in 2017 to 9.5% in 2018 and 6.6% in 2019). A positive trend was also in Poland (from 14.3% in 2017 to 9.9% in 2018 and 9.7% in 2019). </w:t>
      </w:r>
    </w:p>
    <w:p w14:paraId="273D4776"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Although the VAT gap has been declining in all selected CEE countries, it is still high and, in several countries, even higher than the average of all EU countries (EU-28). It was 10.9% in 2017, 9.20% in 2018 and the estimate for 2019 is 9.20%.</w:t>
      </w:r>
    </w:p>
    <w:p w14:paraId="74EB3788"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Only significant relations are shown next (figures 2 – 7; tables 2 – 7). </w:t>
      </w:r>
    </w:p>
    <w:p w14:paraId="7EBE490C" w14:textId="77777777" w:rsidR="004E0A51" w:rsidRPr="004E0A51" w:rsidRDefault="004E0A51" w:rsidP="004E0A51">
      <w:pPr>
        <w:pStyle w:val="Text"/>
        <w:spacing w:before="60" w:after="60"/>
        <w:ind w:firstLine="180"/>
        <w:rPr>
          <w:rFonts w:ascii="Gulliver-Regular" w:hAnsi="Gulliver-Regular"/>
        </w:rPr>
      </w:pPr>
    </w:p>
    <w:p w14:paraId="6505603F"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 xml:space="preserve">Voice and Accountability </w:t>
      </w:r>
    </w:p>
    <w:p w14:paraId="1A4A39B7"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relationship between the VAT gap and Voice and Accountability </w:t>
      </w:r>
      <w:r w:rsidRPr="004E0A51">
        <w:rPr>
          <w:rFonts w:ascii="Gulliver-Regular" w:hAnsi="Gulliver-Regular"/>
          <w:bCs/>
        </w:rPr>
        <w:t>(later only “</w:t>
      </w:r>
      <w:proofErr w:type="spellStart"/>
      <w:r w:rsidRPr="004E0A51">
        <w:rPr>
          <w:rFonts w:ascii="Gulliver-Regular" w:hAnsi="Gulliver-Regular"/>
          <w:bCs/>
        </w:rPr>
        <w:t>VaA</w:t>
      </w:r>
      <w:proofErr w:type="spellEnd"/>
      <w:r w:rsidRPr="004E0A51">
        <w:rPr>
          <w:rFonts w:ascii="Gulliver-Regular" w:hAnsi="Gulliver-Regular"/>
          <w:bCs/>
        </w:rPr>
        <w:t>”)</w:t>
      </w:r>
      <w:r w:rsidRPr="004E0A51">
        <w:rPr>
          <w:rFonts w:ascii="Gulliver-Regular" w:hAnsi="Gulliver-Regular"/>
        </w:rPr>
        <w:t xml:space="preserve"> is shown in the following figure and table (Table 2).</w:t>
      </w:r>
    </w:p>
    <w:p w14:paraId="2C94D961" w14:textId="2BC3BC5E" w:rsidR="004E0A51" w:rsidRDefault="004E0A51" w:rsidP="004E0A51">
      <w:pPr>
        <w:pStyle w:val="Text"/>
        <w:spacing w:before="60" w:after="60"/>
        <w:rPr>
          <w:rFonts w:ascii="Gulliver-Regular" w:hAnsi="Gulliver-Regular"/>
        </w:rPr>
      </w:pPr>
    </w:p>
    <w:p w14:paraId="752E9560" w14:textId="77777777" w:rsidR="004E0A51" w:rsidRDefault="004E0A51" w:rsidP="004E0A51">
      <w:pPr>
        <w:pStyle w:val="Text"/>
        <w:spacing w:before="60" w:after="60"/>
        <w:rPr>
          <w:rFonts w:ascii="Gulliver-Regular" w:hAnsi="Gulliver-Regular"/>
        </w:rPr>
        <w:sectPr w:rsidR="004E0A51" w:rsidSect="000F18FD">
          <w:type w:val="continuous"/>
          <w:pgSz w:w="12240" w:h="15840" w:code="1"/>
          <w:pgMar w:top="1440" w:right="1440" w:bottom="864" w:left="1440" w:header="576" w:footer="432" w:gutter="0"/>
          <w:cols w:num="2" w:space="425"/>
          <w:docGrid w:linePitch="299"/>
        </w:sectPr>
      </w:pPr>
    </w:p>
    <w:p w14:paraId="0F1E1AA6" w14:textId="77777777" w:rsidR="004E0A51" w:rsidRPr="004E0A51" w:rsidRDefault="004E0A51" w:rsidP="004E0A51">
      <w:pPr>
        <w:pStyle w:val="Text"/>
        <w:spacing w:before="60" w:after="60"/>
        <w:rPr>
          <w:rFonts w:ascii="Gulliver-Regular" w:hAnsi="Gulliver-Regular"/>
        </w:rPr>
      </w:pPr>
    </w:p>
    <w:p w14:paraId="6564250B" w14:textId="77777777" w:rsidR="004E0A51" w:rsidRPr="004E0A51" w:rsidRDefault="004E0A51" w:rsidP="004E0A51">
      <w:pPr>
        <w:pStyle w:val="Text"/>
        <w:spacing w:before="60" w:after="60"/>
        <w:rPr>
          <w:rFonts w:ascii="Gulliver-Regular" w:hAnsi="Gulliver-Regular"/>
        </w:rPr>
      </w:pPr>
      <w:bookmarkStart w:id="5" w:name="_Hlk84698555"/>
      <w:r w:rsidRPr="004E0A51">
        <w:rPr>
          <w:rFonts w:ascii="Gulliver-Regular" w:hAnsi="Gulliver-Regular"/>
          <w:b/>
          <w:bCs/>
        </w:rPr>
        <w:t>Table 2:</w:t>
      </w:r>
      <w:r w:rsidRPr="004E0A51">
        <w:rPr>
          <w:rFonts w:ascii="Gulliver-Regular" w:hAnsi="Gulliver-Regular"/>
        </w:rPr>
        <w:t xml:space="preserve"> Relationship between the VAT gap and </w:t>
      </w:r>
      <w:proofErr w:type="spellStart"/>
      <w:r w:rsidRPr="004E0A51">
        <w:rPr>
          <w:rFonts w:ascii="Gulliver-Regular" w:hAnsi="Gulliver-Regular"/>
        </w:rPr>
        <w:t>VaA</w:t>
      </w:r>
      <w:proofErr w:type="spellEnd"/>
    </w:p>
    <w:tbl>
      <w:tblPr>
        <w:tblStyle w:val="Tabukasmriekou1svetl1"/>
        <w:tblW w:w="4572" w:type="pct"/>
        <w:tblInd w:w="-5" w:type="dxa"/>
        <w:tblLook w:val="04A0" w:firstRow="1" w:lastRow="0" w:firstColumn="1" w:lastColumn="0" w:noHBand="0" w:noVBand="1"/>
      </w:tblPr>
      <w:tblGrid>
        <w:gridCol w:w="1788"/>
        <w:gridCol w:w="1142"/>
        <w:gridCol w:w="3010"/>
        <w:gridCol w:w="1440"/>
        <w:gridCol w:w="1170"/>
      </w:tblGrid>
      <w:tr w:rsidR="004E0A51" w:rsidRPr="004E0A51" w14:paraId="73FCFAD6" w14:textId="77777777" w:rsidTr="004E0A5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46"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DEE09C9" w14:textId="77777777" w:rsidR="004E0A51" w:rsidRPr="004E0A51" w:rsidRDefault="004E0A51">
            <w:pPr>
              <w:spacing w:after="0"/>
              <w:jc w:val="center"/>
              <w:rPr>
                <w:rFonts w:ascii="Gulliver-Regular" w:hAnsi="Gulliver-Regular"/>
                <w:b w:val="0"/>
                <w:bCs w:val="0"/>
                <w:color w:val="FF0000"/>
                <w:sz w:val="20"/>
                <w:lang w:val="en-GB" w:eastAsia="sk-SK"/>
              </w:rPr>
            </w:pPr>
            <w:proofErr w:type="spellStart"/>
            <w:r w:rsidRPr="004E0A51">
              <w:rPr>
                <w:rFonts w:ascii="Gulliver-Regular" w:hAnsi="Gulliver-Regular"/>
                <w:sz w:val="20"/>
                <w:lang w:val="en-GB" w:eastAsia="sk-SK"/>
              </w:rPr>
              <w:t>VaA</w:t>
            </w:r>
            <w:proofErr w:type="spellEnd"/>
          </w:p>
        </w:tc>
        <w:tc>
          <w:tcPr>
            <w:tcW w:w="668"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3FFA4859"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color w:val="FF0000"/>
                <w:sz w:val="20"/>
                <w:lang w:val="en-GB" w:eastAsia="sk-SK"/>
              </w:rPr>
            </w:pPr>
            <w:r w:rsidRPr="004E0A51">
              <w:rPr>
                <w:rFonts w:ascii="Gulliver-Regular" w:hAnsi="Gulliver-Regular"/>
                <w:sz w:val="20"/>
                <w:lang w:val="en-GB" w:eastAsia="sk-SK"/>
              </w:rPr>
              <w:t>Tails</w:t>
            </w:r>
          </w:p>
        </w:tc>
        <w:tc>
          <w:tcPr>
            <w:tcW w:w="1760"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7FB6607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b w:val="0"/>
                <w:bCs w:val="0"/>
                <w:sz w:val="20"/>
                <w:lang w:val="en-GB" w:eastAsia="sk-SK"/>
              </w:rPr>
            </w:pPr>
            <w:r w:rsidRPr="004E0A51">
              <w:rPr>
                <w:rFonts w:ascii="Gulliver-Regular" w:hAnsi="Gulliver-Regular"/>
                <w:sz w:val="20"/>
                <w:lang w:val="en-GB" w:eastAsia="sk-SK"/>
              </w:rPr>
              <w:t>Spearman´s coefficient</w:t>
            </w:r>
          </w:p>
        </w:tc>
        <w:tc>
          <w:tcPr>
            <w:tcW w:w="842"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12A0734E"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685" w:type="pct"/>
            <w:tcBorders>
              <w:top w:val="single" w:sz="4" w:space="0" w:color="999999" w:themeColor="text1" w:themeTint="66"/>
              <w:left w:val="single" w:sz="4" w:space="0" w:color="999999" w:themeColor="text1" w:themeTint="66"/>
              <w:right w:val="single" w:sz="4" w:space="0" w:color="999999" w:themeColor="text1" w:themeTint="66"/>
            </w:tcBorders>
            <w:hideMark/>
          </w:tcPr>
          <w:p w14:paraId="30742D5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6363AF39"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0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2FCA78"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Estonia</w:t>
            </w:r>
          </w:p>
        </w:tc>
        <w:tc>
          <w:tcPr>
            <w:tcW w:w="6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37738A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7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C46CEE"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-0.579 </w:t>
            </w:r>
            <w:r w:rsidRPr="004E0A51">
              <w:rPr>
                <w:rFonts w:ascii="Gulliver-Regular" w:hAnsi="Gulliver-Regular"/>
                <w:sz w:val="20"/>
                <w:lang w:val="en-GB"/>
              </w:rPr>
              <w:t>*</w:t>
            </w:r>
          </w:p>
        </w:tc>
        <w:tc>
          <w:tcPr>
            <w:tcW w:w="8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93A44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0.009</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4120C0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66B5F0F8"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0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45F946"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Hungary</w:t>
            </w:r>
          </w:p>
        </w:tc>
        <w:tc>
          <w:tcPr>
            <w:tcW w:w="6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178A48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7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4DC94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0.748 **</w:t>
            </w:r>
          </w:p>
        </w:tc>
        <w:tc>
          <w:tcPr>
            <w:tcW w:w="8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2FBD00"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0.000</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5728DC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08D03AF0"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0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CEA4696"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Lithuania</w:t>
            </w:r>
          </w:p>
        </w:tc>
        <w:tc>
          <w:tcPr>
            <w:tcW w:w="6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2A2E94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7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DCC560"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-0,616 **</w:t>
            </w:r>
          </w:p>
        </w:tc>
        <w:tc>
          <w:tcPr>
            <w:tcW w:w="8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68CD9B4"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0.005</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88A28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2CE8D917"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04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771C282"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Poland</w:t>
            </w:r>
          </w:p>
        </w:tc>
        <w:tc>
          <w:tcPr>
            <w:tcW w:w="6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23FCD5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7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B573D3"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0.599 *</w:t>
            </w:r>
          </w:p>
        </w:tc>
        <w:tc>
          <w:tcPr>
            <w:tcW w:w="84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0292ABD"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0.007</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595A4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bookmarkEnd w:id="5"/>
    <w:p w14:paraId="7BDD20E4"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6D43CD5A"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Moderate correlation (|r| from .40 to .59).</w:t>
      </w:r>
    </w:p>
    <w:p w14:paraId="5D29DFB8"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2A787095" w14:textId="5281A54F" w:rsidR="004E0A51" w:rsidRDefault="004E0A51" w:rsidP="004E0A51">
      <w:pPr>
        <w:pStyle w:val="Text"/>
        <w:spacing w:before="60" w:after="60"/>
        <w:ind w:firstLine="180"/>
        <w:rPr>
          <w:rFonts w:ascii="Gulliver-Regular" w:hAnsi="Gulliver-Regular"/>
        </w:rPr>
      </w:pPr>
    </w:p>
    <w:p w14:paraId="17258282"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6983DCB1"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As shown in Table 2, the significant relationships are for Estonia and Lithuania, </w:t>
      </w:r>
      <w:proofErr w:type="gramStart"/>
      <w:r w:rsidRPr="004E0A51">
        <w:rPr>
          <w:rFonts w:ascii="Gulliver-Regular" w:hAnsi="Gulliver-Regular"/>
        </w:rPr>
        <w:t>i.e.</w:t>
      </w:r>
      <w:proofErr w:type="gramEnd"/>
      <w:r w:rsidRPr="004E0A51">
        <w:rPr>
          <w:rFonts w:ascii="Gulliver-Regular" w:hAnsi="Gulliver-Regular"/>
        </w:rPr>
        <w:t xml:space="preserve"> when </w:t>
      </w:r>
      <w:proofErr w:type="spellStart"/>
      <w:r w:rsidRPr="004E0A51">
        <w:rPr>
          <w:rFonts w:ascii="Gulliver-Regular" w:hAnsi="Gulliver-Regular"/>
        </w:rPr>
        <w:t>VaA</w:t>
      </w:r>
      <w:proofErr w:type="spellEnd"/>
      <w:r w:rsidRPr="004E0A51">
        <w:rPr>
          <w:rFonts w:ascii="Gulliver-Regular" w:hAnsi="Gulliver-Regular"/>
        </w:rPr>
        <w:t xml:space="preserve"> increases, the VAT gap decreases. For Hungary and Poland, the relationships are positive. We perceive it as a contradiction because it means is the values of </w:t>
      </w:r>
      <w:proofErr w:type="spellStart"/>
      <w:r w:rsidRPr="004E0A51">
        <w:rPr>
          <w:rFonts w:ascii="Gulliver-Regular" w:hAnsi="Gulliver-Regular"/>
        </w:rPr>
        <w:t>VaA</w:t>
      </w:r>
      <w:proofErr w:type="spellEnd"/>
      <w:r w:rsidRPr="004E0A51">
        <w:rPr>
          <w:rFonts w:ascii="Gulliver-Regular" w:hAnsi="Gulliver-Regular"/>
        </w:rPr>
        <w:t xml:space="preserve"> increase with the growing tax gap.  </w:t>
      </w:r>
    </w:p>
    <w:p w14:paraId="02B666F8" w14:textId="77777777" w:rsidR="004E0A51" w:rsidRPr="004E0A51" w:rsidRDefault="004E0A51" w:rsidP="004E0A51">
      <w:pPr>
        <w:pStyle w:val="Text"/>
        <w:spacing w:before="60" w:after="60"/>
        <w:ind w:firstLine="180"/>
        <w:rPr>
          <w:rFonts w:ascii="Gulliver-Regular" w:hAnsi="Gulliver-Regular"/>
        </w:rPr>
      </w:pPr>
    </w:p>
    <w:p w14:paraId="2A98E474"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 xml:space="preserve">Political Stability and Absence of Violence/Terrorism </w:t>
      </w:r>
    </w:p>
    <w:p w14:paraId="4680FE00"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opinion in the likelihood of political volatility and/or politically driven violence, and terrorism (later only “</w:t>
      </w:r>
      <w:proofErr w:type="spellStart"/>
      <w:r w:rsidRPr="004E0A51">
        <w:rPr>
          <w:rFonts w:ascii="Gulliver-Regular" w:hAnsi="Gulliver-Regular"/>
        </w:rPr>
        <w:t>PSaAV</w:t>
      </w:r>
      <w:proofErr w:type="spellEnd"/>
      <w:r w:rsidRPr="004E0A51">
        <w:rPr>
          <w:rFonts w:ascii="Gulliver-Regular" w:hAnsi="Gulliver-Regular"/>
        </w:rPr>
        <w:t>/T”) is presented in Table 3 in connection to the VAT gap.</w:t>
      </w:r>
    </w:p>
    <w:p w14:paraId="5D9D17E5" w14:textId="59AB910C" w:rsidR="004E0A51" w:rsidRDefault="004E0A51" w:rsidP="004E0A51">
      <w:pPr>
        <w:pStyle w:val="Text"/>
        <w:spacing w:before="60" w:after="60"/>
        <w:ind w:firstLine="180"/>
        <w:rPr>
          <w:rFonts w:ascii="Gulliver-Regular" w:hAnsi="Gulliver-Regular"/>
          <w:color w:val="FF0000"/>
        </w:rPr>
      </w:pPr>
    </w:p>
    <w:p w14:paraId="4290973A" w14:textId="77777777" w:rsidR="004E0A51" w:rsidRDefault="004E0A51" w:rsidP="004E0A51">
      <w:pPr>
        <w:pStyle w:val="Text"/>
        <w:spacing w:before="60" w:after="60"/>
        <w:ind w:firstLine="180"/>
        <w:rPr>
          <w:rFonts w:ascii="Gulliver-Regular" w:hAnsi="Gulliver-Regular"/>
          <w:color w:val="FF0000"/>
        </w:rPr>
        <w:sectPr w:rsidR="004E0A51" w:rsidSect="000F18FD">
          <w:type w:val="continuous"/>
          <w:pgSz w:w="12240" w:h="15840" w:code="1"/>
          <w:pgMar w:top="1440" w:right="1440" w:bottom="864" w:left="1440" w:header="576" w:footer="432" w:gutter="0"/>
          <w:cols w:num="2" w:space="425"/>
          <w:docGrid w:linePitch="299"/>
        </w:sectPr>
      </w:pPr>
    </w:p>
    <w:p w14:paraId="6EAA9A7C"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3:</w:t>
      </w:r>
      <w:r w:rsidRPr="004E0A51">
        <w:rPr>
          <w:rFonts w:ascii="Gulliver-Regular" w:hAnsi="Gulliver-Regular"/>
        </w:rPr>
        <w:t xml:space="preserve"> Relationships between the VAT gap and Political Stability and Absence of Violence/Terrorism</w:t>
      </w:r>
    </w:p>
    <w:tbl>
      <w:tblPr>
        <w:tblStyle w:val="Tabukasmriekou1svetl1"/>
        <w:tblW w:w="4400" w:type="pct"/>
        <w:tblInd w:w="0" w:type="dxa"/>
        <w:tblLook w:val="04A0" w:firstRow="1" w:lastRow="0" w:firstColumn="1" w:lastColumn="0" w:noHBand="0" w:noVBand="1"/>
      </w:tblPr>
      <w:tblGrid>
        <w:gridCol w:w="2265"/>
        <w:gridCol w:w="746"/>
        <w:gridCol w:w="2381"/>
        <w:gridCol w:w="1419"/>
        <w:gridCol w:w="1417"/>
      </w:tblGrid>
      <w:tr w:rsidR="004E0A51" w:rsidRPr="004E0A51" w14:paraId="514A6090" w14:textId="77777777" w:rsidTr="004E0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38"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21F56F46" w14:textId="77777777" w:rsidR="004E0A51" w:rsidRPr="004E0A51" w:rsidRDefault="004E0A51">
            <w:pPr>
              <w:spacing w:after="0"/>
              <w:jc w:val="center"/>
              <w:rPr>
                <w:rFonts w:ascii="Gulliver-Regular" w:hAnsi="Gulliver-Regular"/>
                <w:sz w:val="20"/>
                <w:lang w:val="en-GB" w:eastAsia="sk-SK"/>
              </w:rPr>
            </w:pPr>
            <w:r w:rsidRPr="004E0A51">
              <w:rPr>
                <w:rFonts w:ascii="Gulliver-Regular" w:hAnsi="Gulliver-Regular"/>
              </w:rPr>
              <w:t>PSaAV/T</w:t>
            </w:r>
          </w:p>
        </w:tc>
        <w:tc>
          <w:tcPr>
            <w:tcW w:w="515"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FBA9D61"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Tails</w:t>
            </w:r>
          </w:p>
        </w:tc>
        <w:tc>
          <w:tcPr>
            <w:tcW w:w="1202"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153480F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Spearman's coefficient</w:t>
            </w:r>
          </w:p>
        </w:tc>
        <w:tc>
          <w:tcPr>
            <w:tcW w:w="923"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1A4508D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922"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5719412"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654AD314"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674EFA"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Croatia</w:t>
            </w:r>
          </w:p>
        </w:tc>
        <w:tc>
          <w:tcPr>
            <w:tcW w:w="51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4D9E6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0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FC3414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-0.928 ***</w:t>
            </w:r>
          </w:p>
        </w:tc>
        <w:tc>
          <w:tcPr>
            <w:tcW w:w="9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0ACAC97"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0.008</w:t>
            </w:r>
          </w:p>
        </w:tc>
        <w:tc>
          <w:tcPr>
            <w:tcW w:w="92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660E9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6</w:t>
            </w:r>
          </w:p>
        </w:tc>
      </w:tr>
      <w:tr w:rsidR="004E0A51" w:rsidRPr="004E0A51" w14:paraId="59CA5A27"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3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909BC2"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Slovak Republic</w:t>
            </w:r>
          </w:p>
        </w:tc>
        <w:tc>
          <w:tcPr>
            <w:tcW w:w="51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B40DC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0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680B2B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0.681 *</w:t>
            </w:r>
            <w:r w:rsidRPr="004E0A51">
              <w:rPr>
                <w:rFonts w:ascii="Gulliver-Regular" w:hAnsi="Gulliver-Regular"/>
                <w:sz w:val="20"/>
                <w:lang w:val="en-GB"/>
              </w:rPr>
              <w:t>*</w:t>
            </w:r>
          </w:p>
        </w:tc>
        <w:tc>
          <w:tcPr>
            <w:tcW w:w="92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5585F2"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0.001</w:t>
            </w:r>
          </w:p>
        </w:tc>
        <w:tc>
          <w:tcPr>
            <w:tcW w:w="92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6006FB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p w14:paraId="42F17D7C"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Very strong correlation (|r| from .80 to 1.0).</w:t>
      </w:r>
    </w:p>
    <w:p w14:paraId="4567C66D"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39342F45"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22064495" w14:textId="5C1D4516" w:rsidR="004E0A51" w:rsidRDefault="004E0A51" w:rsidP="004E0A51">
      <w:pPr>
        <w:pStyle w:val="Text"/>
        <w:spacing w:before="60" w:after="60"/>
        <w:ind w:firstLine="180"/>
        <w:rPr>
          <w:rFonts w:ascii="Gulliver-Regular" w:hAnsi="Gulliver-Regular"/>
        </w:rPr>
      </w:pPr>
    </w:p>
    <w:p w14:paraId="40066ED3"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6581CBCA"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The significant relationships are for Croatia and in a negative direction. If the indicator of political stability, absence of violence, terrorism grows, the VAT gap descends. In the case of Slovakia, the VAT gap rises.  </w:t>
      </w:r>
    </w:p>
    <w:p w14:paraId="3F73DF0C" w14:textId="77777777" w:rsidR="004E0A51" w:rsidRPr="004E0A51" w:rsidRDefault="004E0A51" w:rsidP="004E0A51">
      <w:pPr>
        <w:pStyle w:val="Text"/>
        <w:spacing w:before="60" w:after="60"/>
        <w:ind w:firstLine="180"/>
        <w:rPr>
          <w:rFonts w:ascii="Gulliver-Regular" w:hAnsi="Gulliver-Regular"/>
        </w:rPr>
      </w:pPr>
    </w:p>
    <w:p w14:paraId="5B40A0F4"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 xml:space="preserve">Government Efficiency </w:t>
      </w:r>
    </w:p>
    <w:p w14:paraId="596BA96C"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relationship of the VAT gap and Government Efficiency (later only “GE”) are shown in Table 4.</w:t>
      </w:r>
    </w:p>
    <w:p w14:paraId="124F8CF2" w14:textId="51D67DED" w:rsidR="004E0A51" w:rsidRDefault="004E0A51" w:rsidP="004E0A51">
      <w:pPr>
        <w:pStyle w:val="Text"/>
        <w:spacing w:before="60" w:after="60"/>
        <w:ind w:firstLine="180"/>
        <w:rPr>
          <w:rFonts w:ascii="Gulliver-Regular" w:hAnsi="Gulliver-Regular"/>
        </w:rPr>
      </w:pPr>
    </w:p>
    <w:p w14:paraId="3DB2D25E" w14:textId="77777777" w:rsidR="004E0A51" w:rsidRDefault="004E0A51" w:rsidP="004E0A51">
      <w:pPr>
        <w:pStyle w:val="Text"/>
        <w:spacing w:before="60" w:after="60"/>
        <w:ind w:firstLine="180"/>
        <w:rPr>
          <w:rFonts w:ascii="Gulliver-Regular" w:hAnsi="Gulliver-Regular"/>
        </w:rPr>
        <w:sectPr w:rsidR="004E0A51" w:rsidSect="000F18FD">
          <w:type w:val="continuous"/>
          <w:pgSz w:w="12240" w:h="15840" w:code="1"/>
          <w:pgMar w:top="1440" w:right="1440" w:bottom="864" w:left="1440" w:header="576" w:footer="432" w:gutter="0"/>
          <w:cols w:num="2" w:space="425"/>
          <w:docGrid w:linePitch="299"/>
        </w:sectPr>
      </w:pPr>
    </w:p>
    <w:p w14:paraId="10DEEB4C" w14:textId="77777777" w:rsidR="004E0A51" w:rsidRPr="004E0A51" w:rsidRDefault="004E0A51" w:rsidP="004E0A51">
      <w:pPr>
        <w:pStyle w:val="Text"/>
        <w:spacing w:before="60" w:after="60"/>
        <w:rPr>
          <w:rFonts w:ascii="Gulliver-Regular" w:hAnsi="Gulliver-Regular"/>
        </w:rPr>
      </w:pPr>
      <w:bookmarkStart w:id="6" w:name="_Hlk84698643"/>
      <w:r w:rsidRPr="004E0A51">
        <w:rPr>
          <w:rFonts w:ascii="Gulliver-Regular" w:hAnsi="Gulliver-Regular"/>
          <w:b/>
          <w:bCs/>
        </w:rPr>
        <w:t>Table 4:</w:t>
      </w:r>
      <w:r w:rsidRPr="004E0A51">
        <w:rPr>
          <w:rFonts w:ascii="Gulliver-Regular" w:hAnsi="Gulliver-Regular"/>
        </w:rPr>
        <w:t xml:space="preserve"> Relationship between the VAT gap and Government Efficiency</w:t>
      </w:r>
    </w:p>
    <w:tbl>
      <w:tblPr>
        <w:tblStyle w:val="Tabukasmriekou1svetl1"/>
        <w:tblW w:w="4200" w:type="pct"/>
        <w:tblInd w:w="0" w:type="dxa"/>
        <w:tblLook w:val="04A0" w:firstRow="1" w:lastRow="0" w:firstColumn="1" w:lastColumn="0" w:noHBand="0" w:noVBand="1"/>
      </w:tblPr>
      <w:tblGrid>
        <w:gridCol w:w="2129"/>
        <w:gridCol w:w="797"/>
        <w:gridCol w:w="2381"/>
        <w:gridCol w:w="1273"/>
        <w:gridCol w:w="1274"/>
      </w:tblGrid>
      <w:tr w:rsidR="004E0A51" w:rsidRPr="004E0A51" w14:paraId="3F265E49" w14:textId="77777777" w:rsidTr="004E0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6"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2F56BBF" w14:textId="77777777" w:rsidR="004E0A51" w:rsidRPr="004E0A51" w:rsidRDefault="004E0A51">
            <w:pPr>
              <w:spacing w:after="0"/>
              <w:jc w:val="center"/>
              <w:rPr>
                <w:rFonts w:ascii="Gulliver-Regular" w:hAnsi="Gulliver-Regular"/>
                <w:sz w:val="20"/>
                <w:lang w:val="en-GB" w:eastAsia="sk-SK"/>
              </w:rPr>
            </w:pPr>
            <w:r w:rsidRPr="004E0A51">
              <w:rPr>
                <w:rFonts w:ascii="Gulliver-Regular" w:hAnsi="Gulliver-Regular"/>
                <w:sz w:val="20"/>
                <w:lang w:val="en-GB" w:eastAsia="sk-SK"/>
              </w:rPr>
              <w:t>GE</w:t>
            </w:r>
          </w:p>
        </w:tc>
        <w:tc>
          <w:tcPr>
            <w:tcW w:w="578"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2C334D83"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Tails</w:t>
            </w:r>
          </w:p>
        </w:tc>
        <w:tc>
          <w:tcPr>
            <w:tcW w:w="1234"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47316D3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Spearman's coefficient</w:t>
            </w:r>
          </w:p>
        </w:tc>
        <w:tc>
          <w:tcPr>
            <w:tcW w:w="881"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4E387E0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881" w:type="pct"/>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84877B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30A5490C"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2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DFBDB14" w14:textId="77777777" w:rsidR="004E0A51" w:rsidRPr="004E0A51" w:rsidRDefault="004E0A51">
            <w:pPr>
              <w:spacing w:after="0"/>
              <w:rPr>
                <w:rFonts w:ascii="Gulliver-Regular" w:hAnsi="Gulliver-Regular"/>
                <w:b w:val="0"/>
                <w:color w:val="FF0000"/>
                <w:sz w:val="20"/>
                <w:lang w:val="en-GB" w:eastAsia="sk-SK"/>
              </w:rPr>
            </w:pPr>
            <w:r w:rsidRPr="004E0A51">
              <w:rPr>
                <w:rFonts w:ascii="Gulliver-Regular" w:hAnsi="Gulliver-Regular"/>
                <w:b w:val="0"/>
                <w:sz w:val="20"/>
                <w:lang w:val="en-GB" w:eastAsia="sk-SK"/>
              </w:rPr>
              <w:t>Estonia</w:t>
            </w:r>
          </w:p>
        </w:tc>
        <w:tc>
          <w:tcPr>
            <w:tcW w:w="5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2106FD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3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B9EB82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-0.524 *</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30BD3D1"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0.021</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9B80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2EACCDF0"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2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FF011CC"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Hungary</w:t>
            </w:r>
          </w:p>
        </w:tc>
        <w:tc>
          <w:tcPr>
            <w:tcW w:w="5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7E7A10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3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19E5F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0.733 **</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898B6D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ABE64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3FC13C51"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2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6653BDE"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Lithuania</w:t>
            </w:r>
          </w:p>
        </w:tc>
        <w:tc>
          <w:tcPr>
            <w:tcW w:w="5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4B678A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3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73FAA0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-0.639 **</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6AEF6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0.003</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6F8EAC"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38BC22E9"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42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33D57A"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Poland</w:t>
            </w:r>
          </w:p>
        </w:tc>
        <w:tc>
          <w:tcPr>
            <w:tcW w:w="57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691924C"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23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9A63385"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0.715 </w:t>
            </w:r>
            <w:r w:rsidRPr="004E0A51">
              <w:rPr>
                <w:rFonts w:ascii="Gulliver-Regular" w:hAnsi="Gulliver-Regular"/>
                <w:sz w:val="20"/>
                <w:lang w:val="en-GB"/>
              </w:rPr>
              <w:t>**</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8133ADA"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0.001</w:t>
            </w:r>
          </w:p>
        </w:tc>
        <w:tc>
          <w:tcPr>
            <w:tcW w:w="88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C5864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bookmarkEnd w:id="6"/>
    <w:p w14:paraId="2494206F"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61AD095B"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Moderate correlation (|r| from .40 to .59).</w:t>
      </w:r>
    </w:p>
    <w:p w14:paraId="464CC964"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0AD6D94C" w14:textId="096F8949" w:rsidR="004E0A51" w:rsidRDefault="004E0A51" w:rsidP="004E0A51">
      <w:pPr>
        <w:pStyle w:val="Text"/>
        <w:spacing w:before="60" w:after="60"/>
        <w:ind w:firstLine="180"/>
        <w:rPr>
          <w:rFonts w:ascii="Gulliver-Regular" w:hAnsi="Gulliver-Regular"/>
        </w:rPr>
      </w:pPr>
    </w:p>
    <w:p w14:paraId="103D45FB"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6F5AF586"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Statistically significant relationships can be confirmed for Estonia, Hungary, Lithuania, and Poland (Hungary and Poland have a positive relationship). Perceptions of the public services quality, civil services, and the grade of the liberation from political pressures, the level of a policy proposal and its adoption, and the integrity of the government to these policies are expected to reduce the VAT gap (as in case of Estonia and Lithuania), not to raise it. This indicator reflects, together with regulatory quality, the ability of government to effectively formulate and implement sound policies, what can be excessively perceived by tax subjects.</w:t>
      </w:r>
    </w:p>
    <w:p w14:paraId="3D96465F"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Regulatory Quality</w:t>
      </w:r>
    </w:p>
    <w:p w14:paraId="49168194"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relationship between the VAT gap and regulatory quality (later only “</w:t>
      </w:r>
      <w:proofErr w:type="spellStart"/>
      <w:r w:rsidRPr="004E0A51">
        <w:rPr>
          <w:rFonts w:ascii="Gulliver-Regular" w:hAnsi="Gulliver-Regular"/>
        </w:rPr>
        <w:t>RQ</w:t>
      </w:r>
      <w:proofErr w:type="spellEnd"/>
      <w:r w:rsidRPr="004E0A51">
        <w:rPr>
          <w:rFonts w:ascii="Gulliver-Regular" w:hAnsi="Gulliver-Regular"/>
        </w:rPr>
        <w:t>”) are shown in the following figure and table (Table 5).</w:t>
      </w:r>
    </w:p>
    <w:p w14:paraId="7F75E726" w14:textId="77777777" w:rsidR="004E0A51" w:rsidRPr="004E0A51" w:rsidRDefault="004E0A51" w:rsidP="004E0A51">
      <w:pPr>
        <w:pStyle w:val="Text"/>
        <w:spacing w:before="60" w:after="60"/>
        <w:ind w:firstLine="180"/>
        <w:rPr>
          <w:rFonts w:ascii="Gulliver-Regular" w:hAnsi="Gulliver-Regular"/>
        </w:rPr>
      </w:pPr>
    </w:p>
    <w:p w14:paraId="19B25BE4" w14:textId="77777777" w:rsidR="004E0A51" w:rsidRDefault="004E0A51" w:rsidP="004E0A51">
      <w:pPr>
        <w:pStyle w:val="Text"/>
        <w:spacing w:before="60" w:after="60"/>
        <w:rPr>
          <w:rFonts w:ascii="Gulliver-Regular" w:hAnsi="Gulliver-Regular"/>
          <w:b/>
          <w:bCs/>
        </w:rPr>
        <w:sectPr w:rsidR="004E0A51" w:rsidSect="000F18FD">
          <w:type w:val="continuous"/>
          <w:pgSz w:w="12240" w:h="15840" w:code="1"/>
          <w:pgMar w:top="1440" w:right="1440" w:bottom="864" w:left="1440" w:header="576" w:footer="432" w:gutter="0"/>
          <w:cols w:num="2" w:space="425"/>
          <w:docGrid w:linePitch="299"/>
        </w:sectPr>
      </w:pPr>
      <w:bookmarkStart w:id="7" w:name="_Hlk84698684"/>
    </w:p>
    <w:p w14:paraId="1F4C0C4A" w14:textId="77777777" w:rsidR="004E0A51" w:rsidRDefault="004E0A51" w:rsidP="004E0A51">
      <w:pPr>
        <w:pStyle w:val="Text"/>
        <w:spacing w:before="60" w:after="60"/>
        <w:rPr>
          <w:rFonts w:ascii="Gulliver-Regular" w:hAnsi="Gulliver-Regular"/>
          <w:b/>
          <w:bCs/>
        </w:rPr>
      </w:pPr>
    </w:p>
    <w:p w14:paraId="69319B95" w14:textId="33E625FC"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5:</w:t>
      </w:r>
      <w:r w:rsidRPr="004E0A51">
        <w:rPr>
          <w:rFonts w:ascii="Gulliver-Regular" w:hAnsi="Gulliver-Regular"/>
        </w:rPr>
        <w:t xml:space="preserve"> Relationship between the VAT gap and </w:t>
      </w:r>
      <w:proofErr w:type="spellStart"/>
      <w:r w:rsidRPr="004E0A51">
        <w:rPr>
          <w:rFonts w:ascii="Gulliver-Regular" w:hAnsi="Gulliver-Regular"/>
        </w:rPr>
        <w:t>RQ</w:t>
      </w:r>
      <w:proofErr w:type="spellEnd"/>
    </w:p>
    <w:tbl>
      <w:tblPr>
        <w:tblStyle w:val="Tabukasmriekou1svetl1"/>
        <w:tblW w:w="4582" w:type="pct"/>
        <w:tblInd w:w="0" w:type="dxa"/>
        <w:tblLook w:val="04A0" w:firstRow="1" w:lastRow="0" w:firstColumn="1" w:lastColumn="0" w:noHBand="0" w:noVBand="1"/>
      </w:tblPr>
      <w:tblGrid>
        <w:gridCol w:w="2123"/>
        <w:gridCol w:w="879"/>
        <w:gridCol w:w="3194"/>
        <w:gridCol w:w="1186"/>
        <w:gridCol w:w="1186"/>
      </w:tblGrid>
      <w:tr w:rsidR="004E0A51" w:rsidRPr="004E0A51" w14:paraId="48BCBA82" w14:textId="77777777" w:rsidTr="004E0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2F2A89DB" w14:textId="77777777" w:rsidR="004E0A51" w:rsidRPr="004E0A51" w:rsidRDefault="004E0A51">
            <w:pPr>
              <w:spacing w:after="0"/>
              <w:rPr>
                <w:rFonts w:ascii="Gulliver-Regular" w:hAnsi="Gulliver-Regular"/>
                <w:sz w:val="20"/>
                <w:lang w:val="en-GB" w:eastAsia="sk-SK"/>
              </w:rPr>
            </w:pPr>
            <w:proofErr w:type="spellStart"/>
            <w:r w:rsidRPr="004E0A51">
              <w:rPr>
                <w:rFonts w:ascii="Gulliver-Regular" w:hAnsi="Gulliver-Regular"/>
                <w:sz w:val="20"/>
                <w:lang w:val="en-GB" w:eastAsia="sk-SK"/>
              </w:rPr>
              <w:t>RQ</w:t>
            </w:r>
            <w:proofErr w:type="spellEnd"/>
          </w:p>
        </w:tc>
        <w:tc>
          <w:tcPr>
            <w:tcW w:w="513"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0DF77186"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Tails</w:t>
            </w:r>
          </w:p>
        </w:tc>
        <w:tc>
          <w:tcPr>
            <w:tcW w:w="1864"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68CAE8C9"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Spearman's coefficient</w:t>
            </w:r>
          </w:p>
        </w:tc>
        <w:tc>
          <w:tcPr>
            <w:tcW w:w="692"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B514F52"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692" w:type="pct"/>
            <w:tcBorders>
              <w:top w:val="single" w:sz="4" w:space="0" w:color="999999" w:themeColor="text1" w:themeTint="66"/>
              <w:left w:val="single" w:sz="4" w:space="0" w:color="999999" w:themeColor="text1" w:themeTint="66"/>
              <w:right w:val="single" w:sz="4" w:space="0" w:color="999999" w:themeColor="text1" w:themeTint="66"/>
            </w:tcBorders>
            <w:hideMark/>
          </w:tcPr>
          <w:p w14:paraId="095CD0A3"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57A9D7A7"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B4BD709"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Estonia</w:t>
            </w:r>
          </w:p>
        </w:tc>
        <w:tc>
          <w:tcPr>
            <w:tcW w:w="51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7852485"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6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9D7019F"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-0.571 *</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865FB9D"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0.011</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72A17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6C1FD7B5"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9C3180E"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Croatia</w:t>
            </w:r>
          </w:p>
        </w:tc>
        <w:tc>
          <w:tcPr>
            <w:tcW w:w="51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C7EAAA0"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6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64984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-0.956 ***</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331265"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0.003</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A55796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6</w:t>
            </w:r>
          </w:p>
        </w:tc>
      </w:tr>
      <w:tr w:rsidR="004E0A51" w:rsidRPr="004E0A51" w14:paraId="4102A7C2"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A332CB"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Hungary</w:t>
            </w:r>
          </w:p>
        </w:tc>
        <w:tc>
          <w:tcPr>
            <w:tcW w:w="51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BE048E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eastAsia="sk-SK"/>
              </w:rPr>
            </w:pPr>
            <w:r w:rsidRPr="004E0A51">
              <w:rPr>
                <w:rFonts w:ascii="Gulliver-Regular" w:hAnsi="Gulliver-Regular"/>
                <w:sz w:val="20"/>
                <w:lang w:val="en-GB" w:eastAsia="sk-SK"/>
              </w:rPr>
              <w:t>2</w:t>
            </w:r>
          </w:p>
        </w:tc>
        <w:tc>
          <w:tcPr>
            <w:tcW w:w="186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65A61E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0.766 </w:t>
            </w:r>
            <w:r w:rsidRPr="004E0A51">
              <w:rPr>
                <w:rFonts w:ascii="Gulliver-Regular" w:hAnsi="Gulliver-Regular"/>
                <w:sz w:val="20"/>
                <w:lang w:val="en-GB"/>
              </w:rPr>
              <w:t>**</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46A7810"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8CF0E7"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6D2D0A30"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DEA8F27"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Lithuania</w:t>
            </w:r>
          </w:p>
        </w:tc>
        <w:tc>
          <w:tcPr>
            <w:tcW w:w="51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A827E32"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6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B301265"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-0.757 *</w:t>
            </w:r>
            <w:r w:rsidRPr="004E0A51">
              <w:rPr>
                <w:rFonts w:ascii="Gulliver-Regular" w:hAnsi="Gulliver-Regular"/>
                <w:sz w:val="20"/>
                <w:lang w:val="en-GB"/>
              </w:rPr>
              <w:t>*</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E3E5215"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DFBB9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077015AF"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2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3ECCE51"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Poland</w:t>
            </w:r>
          </w:p>
        </w:tc>
        <w:tc>
          <w:tcPr>
            <w:tcW w:w="51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EB3F56E"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6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8DB6E7A"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0.779 **</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52A1F47"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69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BFEC24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bookmarkEnd w:id="7"/>
    <w:p w14:paraId="71FC7FA9"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Very strong correlation (|r| from .80 to 1.0).</w:t>
      </w:r>
    </w:p>
    <w:p w14:paraId="7EBA7339"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51E34339"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Moderate correlation (|r| from .40 to .59).</w:t>
      </w:r>
    </w:p>
    <w:p w14:paraId="1696C2BE"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30B9AF1E" w14:textId="77777777" w:rsidR="004E0A51" w:rsidRPr="004E0A51" w:rsidRDefault="004E0A51" w:rsidP="004E0A51">
      <w:pPr>
        <w:pStyle w:val="Text"/>
        <w:spacing w:before="60" w:after="60"/>
        <w:ind w:firstLine="180"/>
        <w:rPr>
          <w:rFonts w:ascii="Gulliver-Regular" w:hAnsi="Gulliver-Regular"/>
        </w:rPr>
      </w:pPr>
    </w:p>
    <w:p w14:paraId="6A7C0C06"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5E7FDF4C"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Regulatory quality means how the government can create and adopt sound policies and rules that approve and stimulate the sustainable growth of the private sector. The meaningful relationship between the VAT gap and regulatory quality indicators was proved for Estonia, Croatia, and Lithuania negatively, and Hungary and Poland positively. </w:t>
      </w:r>
    </w:p>
    <w:p w14:paraId="0AA9836C"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The Rule of Law</w:t>
      </w:r>
    </w:p>
    <w:p w14:paraId="537E5430" w14:textId="4F0E8F9E" w:rsidR="004E0A51" w:rsidRDefault="004E0A51" w:rsidP="004E0A51">
      <w:pPr>
        <w:pStyle w:val="Text"/>
        <w:spacing w:before="60" w:after="60"/>
        <w:ind w:firstLine="180"/>
        <w:rPr>
          <w:rFonts w:ascii="Gulliver-Regular" w:hAnsi="Gulliver-Regular"/>
        </w:rPr>
      </w:pPr>
      <w:r w:rsidRPr="004E0A51">
        <w:rPr>
          <w:rFonts w:ascii="Gulliver-Regular" w:hAnsi="Gulliver-Regular"/>
        </w:rPr>
        <w:t>The findings of the tests of the relationship of the VAT gap to the rule of law (later only “</w:t>
      </w:r>
      <w:proofErr w:type="spellStart"/>
      <w:r w:rsidRPr="004E0A51">
        <w:rPr>
          <w:rFonts w:ascii="Gulliver-Regular" w:hAnsi="Gulliver-Regular"/>
        </w:rPr>
        <w:t>RL</w:t>
      </w:r>
      <w:proofErr w:type="spellEnd"/>
      <w:r w:rsidRPr="004E0A51">
        <w:rPr>
          <w:rFonts w:ascii="Gulliver-Regular" w:hAnsi="Gulliver-Regular"/>
        </w:rPr>
        <w:t>”) can be seen in Table 6.</w:t>
      </w:r>
    </w:p>
    <w:p w14:paraId="7CA878A9" w14:textId="77777777" w:rsidR="004E0A51" w:rsidRPr="004E0A51" w:rsidRDefault="004E0A51" w:rsidP="004E0A51">
      <w:pPr>
        <w:pStyle w:val="Text"/>
        <w:spacing w:before="60" w:after="60"/>
        <w:ind w:firstLine="180"/>
        <w:rPr>
          <w:rFonts w:ascii="Gulliver-Regular" w:hAnsi="Gulliver-Regular"/>
        </w:rPr>
      </w:pPr>
    </w:p>
    <w:p w14:paraId="3070A947" w14:textId="77777777" w:rsidR="004E0A51" w:rsidRDefault="004E0A51" w:rsidP="004E0A51">
      <w:pPr>
        <w:pStyle w:val="Text"/>
        <w:spacing w:before="60" w:after="60"/>
        <w:rPr>
          <w:rFonts w:ascii="Gulliver-Regular" w:hAnsi="Gulliver-Regular"/>
          <w:b/>
          <w:bCs/>
        </w:rPr>
        <w:sectPr w:rsidR="004E0A51" w:rsidSect="000F18FD">
          <w:type w:val="continuous"/>
          <w:pgSz w:w="12240" w:h="15840" w:code="1"/>
          <w:pgMar w:top="1440" w:right="1440" w:bottom="864" w:left="1440" w:header="576" w:footer="432" w:gutter="0"/>
          <w:cols w:num="2" w:space="425"/>
          <w:docGrid w:linePitch="299"/>
        </w:sectPr>
      </w:pPr>
    </w:p>
    <w:p w14:paraId="045A7FB2" w14:textId="77777777" w:rsidR="004E0A51" w:rsidRDefault="004E0A51" w:rsidP="004E0A51">
      <w:pPr>
        <w:pStyle w:val="Text"/>
        <w:spacing w:before="60" w:after="60"/>
        <w:rPr>
          <w:rFonts w:ascii="Gulliver-Regular" w:hAnsi="Gulliver-Regular"/>
          <w:b/>
          <w:bCs/>
        </w:rPr>
      </w:pPr>
    </w:p>
    <w:p w14:paraId="100E9C83" w14:textId="3C1ECAE5"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6:</w:t>
      </w:r>
      <w:r w:rsidRPr="004E0A51">
        <w:rPr>
          <w:rFonts w:ascii="Gulliver-Regular" w:hAnsi="Gulliver-Regular"/>
        </w:rPr>
        <w:t xml:space="preserve"> Relationship between the VAT gap and the Rule of Law</w:t>
      </w:r>
    </w:p>
    <w:tbl>
      <w:tblPr>
        <w:tblStyle w:val="Tabukasmriekou1svetl1"/>
        <w:tblW w:w="4382" w:type="pct"/>
        <w:tblInd w:w="0" w:type="dxa"/>
        <w:tblLook w:val="04A0" w:firstRow="1" w:lastRow="0" w:firstColumn="1" w:lastColumn="0" w:noHBand="0" w:noVBand="1"/>
      </w:tblPr>
      <w:tblGrid>
        <w:gridCol w:w="1409"/>
        <w:gridCol w:w="1178"/>
        <w:gridCol w:w="3196"/>
        <w:gridCol w:w="1206"/>
        <w:gridCol w:w="1205"/>
      </w:tblGrid>
      <w:tr w:rsidR="004E0A51" w:rsidRPr="004E0A51" w14:paraId="20E89535" w14:textId="77777777" w:rsidTr="004E0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1B970411" w14:textId="77777777" w:rsidR="004E0A51" w:rsidRPr="004E0A51" w:rsidRDefault="004E0A51">
            <w:pPr>
              <w:spacing w:after="0"/>
              <w:jc w:val="center"/>
              <w:rPr>
                <w:rFonts w:ascii="Gulliver-Regular" w:hAnsi="Gulliver-Regular"/>
                <w:sz w:val="20"/>
                <w:lang w:val="en-GB" w:eastAsia="sk-SK"/>
              </w:rPr>
            </w:pPr>
            <w:proofErr w:type="spellStart"/>
            <w:r w:rsidRPr="004E0A51">
              <w:rPr>
                <w:rFonts w:ascii="Gulliver-Regular" w:hAnsi="Gulliver-Regular"/>
                <w:sz w:val="20"/>
                <w:lang w:val="en-GB" w:eastAsia="sk-SK"/>
              </w:rPr>
              <w:t>RL</w:t>
            </w:r>
            <w:proofErr w:type="spellEnd"/>
          </w:p>
        </w:tc>
        <w:tc>
          <w:tcPr>
            <w:tcW w:w="719"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0B83C12E"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Tails</w:t>
            </w:r>
          </w:p>
        </w:tc>
        <w:tc>
          <w:tcPr>
            <w:tcW w:w="1950"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5896B7FF"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Spearman's coefficient</w:t>
            </w:r>
          </w:p>
        </w:tc>
        <w:tc>
          <w:tcPr>
            <w:tcW w:w="736" w:type="pct"/>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291D8F43"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735" w:type="pct"/>
            <w:tcBorders>
              <w:top w:val="single" w:sz="4" w:space="0" w:color="999999" w:themeColor="text1" w:themeTint="66"/>
              <w:left w:val="single" w:sz="4" w:space="0" w:color="999999" w:themeColor="text1" w:themeTint="66"/>
              <w:right w:val="single" w:sz="4" w:space="0" w:color="999999" w:themeColor="text1" w:themeTint="66"/>
            </w:tcBorders>
            <w:hideMark/>
          </w:tcPr>
          <w:p w14:paraId="6E0DC26C"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2BEA2D63"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5B0E25B"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Estonia</w:t>
            </w:r>
          </w:p>
        </w:tc>
        <w:tc>
          <w:tcPr>
            <w:tcW w:w="71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DE8773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9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A31DDEF"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-0.641 **</w:t>
            </w:r>
          </w:p>
        </w:tc>
        <w:tc>
          <w:tcPr>
            <w:tcW w:w="73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61BDDB7"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0.003</w:t>
            </w:r>
          </w:p>
        </w:tc>
        <w:tc>
          <w:tcPr>
            <w:tcW w:w="7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615585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472556BE"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1DC0282"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Hungary</w:t>
            </w:r>
          </w:p>
        </w:tc>
        <w:tc>
          <w:tcPr>
            <w:tcW w:w="71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59236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9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6AECDC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0.729 </w:t>
            </w:r>
            <w:r w:rsidRPr="004E0A51">
              <w:rPr>
                <w:rFonts w:ascii="Gulliver-Regular" w:hAnsi="Gulliver-Regular"/>
                <w:sz w:val="20"/>
                <w:lang w:val="en-GB"/>
              </w:rPr>
              <w:t>**</w:t>
            </w:r>
          </w:p>
        </w:tc>
        <w:tc>
          <w:tcPr>
            <w:tcW w:w="73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B1A0698"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7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7BC44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6EAC85B5"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E7DA264"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Lithuania</w:t>
            </w:r>
          </w:p>
        </w:tc>
        <w:tc>
          <w:tcPr>
            <w:tcW w:w="71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CBE1B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9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C9E3DD0"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-0.757 *</w:t>
            </w:r>
            <w:r w:rsidRPr="004E0A51">
              <w:rPr>
                <w:rFonts w:ascii="Gulliver-Regular" w:hAnsi="Gulliver-Regular"/>
                <w:sz w:val="20"/>
                <w:lang w:val="en-GB"/>
              </w:rPr>
              <w:t>*</w:t>
            </w:r>
          </w:p>
        </w:tc>
        <w:tc>
          <w:tcPr>
            <w:tcW w:w="73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B6075E"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7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455A7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7471561A"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8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B9261F8"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Poland</w:t>
            </w:r>
          </w:p>
        </w:tc>
        <w:tc>
          <w:tcPr>
            <w:tcW w:w="71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9C5529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95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1FF440D"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0.779 </w:t>
            </w:r>
            <w:r w:rsidRPr="004E0A51">
              <w:rPr>
                <w:rFonts w:ascii="Gulliver-Regular" w:hAnsi="Gulliver-Regular"/>
                <w:sz w:val="20"/>
                <w:lang w:val="en-GB"/>
              </w:rPr>
              <w:t>**</w:t>
            </w:r>
          </w:p>
        </w:tc>
        <w:tc>
          <w:tcPr>
            <w:tcW w:w="736"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8E27998"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73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5F920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p w14:paraId="3B011B8E"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348AF705"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52334BE3" w14:textId="43804142" w:rsidR="004E0A51" w:rsidRDefault="004E0A51" w:rsidP="004E0A51">
      <w:pPr>
        <w:pStyle w:val="Text"/>
        <w:spacing w:before="60" w:after="60"/>
        <w:rPr>
          <w:rFonts w:ascii="Gulliver-Regular" w:hAnsi="Gulliver-Regular"/>
        </w:rPr>
      </w:pPr>
    </w:p>
    <w:p w14:paraId="6D1AE70D" w14:textId="77777777" w:rsidR="004E0A51" w:rsidRDefault="004E0A51" w:rsidP="004E0A51">
      <w:pPr>
        <w:pStyle w:val="Text"/>
        <w:spacing w:before="60" w:after="6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14F331D6"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 xml:space="preserve">According to the outcomes, the meaningful relationships are for four countries. In the case of Hungary and Poland the relationships are positive. If the index of the rule of law (meaning an attitude as to whether respondents trust government and society rules and tend to abide them) is growing, the VAT gap is growing. Another direction was proven for Estonia and Lithuania. </w:t>
      </w:r>
    </w:p>
    <w:p w14:paraId="50CBA792" w14:textId="77777777" w:rsidR="004E0A51" w:rsidRPr="004E0A51" w:rsidRDefault="004E0A51" w:rsidP="004E0A51">
      <w:pPr>
        <w:pStyle w:val="Text"/>
        <w:spacing w:before="60" w:after="60"/>
        <w:ind w:firstLine="180"/>
        <w:rPr>
          <w:rFonts w:ascii="Gulliver-Regular" w:hAnsi="Gulliver-Regular"/>
        </w:rPr>
      </w:pPr>
    </w:p>
    <w:p w14:paraId="2FE87B29" w14:textId="77777777" w:rsidR="004E0A51" w:rsidRPr="004E0A51" w:rsidRDefault="004E0A51" w:rsidP="004E0A51">
      <w:pPr>
        <w:pStyle w:val="Text"/>
        <w:spacing w:before="60" w:after="60"/>
        <w:ind w:firstLine="180"/>
        <w:rPr>
          <w:rFonts w:ascii="Gulliver-Regular" w:hAnsi="Gulliver-Regular"/>
          <w:b/>
        </w:rPr>
      </w:pPr>
      <w:r w:rsidRPr="004E0A51">
        <w:rPr>
          <w:rFonts w:ascii="Gulliver-Regular" w:hAnsi="Gulliver-Regular"/>
          <w:b/>
        </w:rPr>
        <w:t>Control of Corruption</w:t>
      </w:r>
    </w:p>
    <w:p w14:paraId="4480207B" w14:textId="15181AEF"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The findings related to the VAT gap and control of corruption (later only “CC”) are shown in Table 7.</w:t>
      </w:r>
    </w:p>
    <w:p w14:paraId="2478BEA6" w14:textId="77777777" w:rsidR="004E0A51" w:rsidRDefault="004E0A51" w:rsidP="004E0A51">
      <w:pPr>
        <w:pStyle w:val="Text"/>
        <w:spacing w:before="60" w:after="60"/>
        <w:rPr>
          <w:rFonts w:ascii="Gulliver-Regular" w:hAnsi="Gulliver-Regular"/>
          <w:b/>
          <w:bCs/>
        </w:rPr>
        <w:sectPr w:rsidR="004E0A51" w:rsidSect="000F18FD">
          <w:type w:val="continuous"/>
          <w:pgSz w:w="12240" w:h="15840" w:code="1"/>
          <w:pgMar w:top="1440" w:right="1440" w:bottom="864" w:left="1440" w:header="576" w:footer="432" w:gutter="0"/>
          <w:cols w:num="2" w:space="425"/>
          <w:docGrid w:linePitch="299"/>
        </w:sectPr>
      </w:pPr>
    </w:p>
    <w:p w14:paraId="026AFA96"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7:</w:t>
      </w:r>
      <w:r w:rsidRPr="004E0A51">
        <w:rPr>
          <w:rFonts w:ascii="Gulliver-Regular" w:hAnsi="Gulliver-Regular"/>
        </w:rPr>
        <w:t xml:space="preserve"> Relationship between the VAT gap and CC</w:t>
      </w:r>
    </w:p>
    <w:tbl>
      <w:tblPr>
        <w:tblStyle w:val="Tabukasmriekou1svetl1"/>
        <w:tblW w:w="4624" w:type="pct"/>
        <w:tblInd w:w="0" w:type="dxa"/>
        <w:tblLook w:val="04A0" w:firstRow="1" w:lastRow="0" w:firstColumn="1" w:lastColumn="0" w:noHBand="0" w:noVBand="1"/>
      </w:tblPr>
      <w:tblGrid>
        <w:gridCol w:w="2376"/>
        <w:gridCol w:w="707"/>
        <w:gridCol w:w="3196"/>
        <w:gridCol w:w="1185"/>
        <w:gridCol w:w="1183"/>
      </w:tblGrid>
      <w:tr w:rsidR="004E0A51" w:rsidRPr="004E0A51" w14:paraId="2DDE90AD" w14:textId="77777777" w:rsidTr="004E0A5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5D1BEF2F" w14:textId="77777777" w:rsidR="004E0A51" w:rsidRPr="004E0A51" w:rsidRDefault="004E0A51">
            <w:pPr>
              <w:spacing w:after="0"/>
              <w:jc w:val="center"/>
              <w:rPr>
                <w:rFonts w:ascii="Gulliver-Regular" w:hAnsi="Gulliver-Regular"/>
                <w:sz w:val="20"/>
                <w:lang w:val="en-GB" w:eastAsia="sk-SK"/>
              </w:rPr>
            </w:pPr>
            <w:r w:rsidRPr="004E0A51">
              <w:rPr>
                <w:rFonts w:ascii="Gulliver-Regular" w:hAnsi="Gulliver-Regular"/>
                <w:sz w:val="20"/>
                <w:lang w:val="en-GB" w:eastAsia="sk-SK"/>
              </w:rPr>
              <w:t>CC</w:t>
            </w:r>
          </w:p>
        </w:tc>
        <w:tc>
          <w:tcPr>
            <w:tcW w:w="409"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13B3BBBD"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Tails</w:t>
            </w:r>
          </w:p>
        </w:tc>
        <w:tc>
          <w:tcPr>
            <w:tcW w:w="1848"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71360E16"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Spearman's coefficient</w:t>
            </w:r>
          </w:p>
        </w:tc>
        <w:tc>
          <w:tcPr>
            <w:tcW w:w="685" w:type="pct"/>
            <w:tcBorders>
              <w:top w:val="single" w:sz="4" w:space="0" w:color="999999" w:themeColor="text1" w:themeTint="66"/>
              <w:left w:val="single" w:sz="4" w:space="0" w:color="999999" w:themeColor="text1" w:themeTint="66"/>
              <w:right w:val="single" w:sz="4" w:space="0" w:color="999999" w:themeColor="text1" w:themeTint="66"/>
            </w:tcBorders>
            <w:noWrap/>
            <w:hideMark/>
          </w:tcPr>
          <w:p w14:paraId="41C74652"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p-value</w:t>
            </w:r>
          </w:p>
        </w:tc>
        <w:tc>
          <w:tcPr>
            <w:tcW w:w="684" w:type="pct"/>
            <w:tcBorders>
              <w:top w:val="single" w:sz="4" w:space="0" w:color="999999" w:themeColor="text1" w:themeTint="66"/>
              <w:left w:val="single" w:sz="4" w:space="0" w:color="999999" w:themeColor="text1" w:themeTint="66"/>
              <w:right w:val="single" w:sz="4" w:space="0" w:color="999999" w:themeColor="text1" w:themeTint="66"/>
            </w:tcBorders>
            <w:hideMark/>
          </w:tcPr>
          <w:p w14:paraId="14E19A06"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N</w:t>
            </w:r>
          </w:p>
        </w:tc>
      </w:tr>
      <w:tr w:rsidR="004E0A51" w:rsidRPr="004E0A51" w14:paraId="0B06BFC4"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E61150A" w14:textId="77777777" w:rsidR="004E0A51" w:rsidRPr="004E0A51" w:rsidRDefault="004E0A51">
            <w:pPr>
              <w:spacing w:after="0"/>
              <w:rPr>
                <w:rFonts w:ascii="Gulliver-Regular" w:hAnsi="Gulliver-Regular"/>
                <w:b w:val="0"/>
                <w:color w:val="FF0000"/>
                <w:sz w:val="20"/>
                <w:lang w:val="en-GB" w:eastAsia="sk-SK"/>
              </w:rPr>
            </w:pPr>
            <w:r w:rsidRPr="004E0A51">
              <w:rPr>
                <w:rFonts w:ascii="Gulliver-Regular" w:hAnsi="Gulliver-Regular"/>
                <w:b w:val="0"/>
                <w:sz w:val="20"/>
                <w:lang w:val="en-GB" w:eastAsia="sk-SK"/>
              </w:rPr>
              <w:t>Czech Republic</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70F27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1123377"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-0.537 *</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4D48A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0.018</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E9023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4589409B"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CF77622"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Estonia</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7BA51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E79E3D7"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 xml:space="preserve">-0.749 </w:t>
            </w:r>
            <w:r w:rsidRPr="004E0A51">
              <w:rPr>
                <w:rFonts w:ascii="Gulliver-Regular" w:hAnsi="Gulliver-Regular"/>
                <w:sz w:val="20"/>
                <w:lang w:val="en-GB"/>
              </w:rPr>
              <w:t>**</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526593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0.000</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396FF7"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416EF257"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D804709"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Croatia</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31FE1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1EE49D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0.971 ***</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D93BD02"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0.001</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7C6D1E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6</w:t>
            </w:r>
          </w:p>
        </w:tc>
      </w:tr>
      <w:tr w:rsidR="004E0A51" w:rsidRPr="004E0A51" w14:paraId="59955369"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853DDA1"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Hungary</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6A4427"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C55DC4"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0.663 **</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DAAFA9F"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0.002</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35D9E79"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5A4E1762"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0ADB99C"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Latvia</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3B6870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C675DA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-0.599 *</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80B366"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0.007</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6F20E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72050880"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0E3DFF3"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Lithuania</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1131C7C"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5388529"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-0.551 *</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459391B"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color w:val="FF0000"/>
                <w:sz w:val="20"/>
                <w:lang w:val="en-GB" w:eastAsia="sk-SK"/>
              </w:rPr>
            </w:pPr>
            <w:r w:rsidRPr="004E0A51">
              <w:rPr>
                <w:rFonts w:ascii="Gulliver-Regular" w:hAnsi="Gulliver-Regular"/>
                <w:bCs/>
                <w:sz w:val="20"/>
                <w:lang w:val="en-GB" w:eastAsia="sk-SK"/>
              </w:rPr>
              <w:t>0.014</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DF0980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r w:rsidR="004E0A51" w:rsidRPr="004E0A51" w14:paraId="5E12D51A" w14:textId="77777777" w:rsidTr="004E0A51">
        <w:trPr>
          <w:trHeight w:val="300"/>
        </w:trPr>
        <w:tc>
          <w:tcPr>
            <w:cnfStyle w:val="001000000000" w:firstRow="0" w:lastRow="0" w:firstColumn="1" w:lastColumn="0" w:oddVBand="0" w:evenVBand="0" w:oddHBand="0" w:evenHBand="0" w:firstRowFirstColumn="0" w:firstRowLastColumn="0" w:lastRowFirstColumn="0" w:lastRowLastColumn="0"/>
            <w:tcW w:w="137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6240D09" w14:textId="77777777" w:rsidR="004E0A51" w:rsidRPr="004E0A51" w:rsidRDefault="004E0A51">
            <w:pPr>
              <w:spacing w:after="0"/>
              <w:rPr>
                <w:rFonts w:ascii="Gulliver-Regular" w:hAnsi="Gulliver-Regular"/>
                <w:b w:val="0"/>
                <w:sz w:val="20"/>
                <w:lang w:val="en-GB" w:eastAsia="sk-SK"/>
              </w:rPr>
            </w:pPr>
            <w:r w:rsidRPr="004E0A51">
              <w:rPr>
                <w:rFonts w:ascii="Gulliver-Regular" w:hAnsi="Gulliver-Regular"/>
                <w:b w:val="0"/>
                <w:sz w:val="20"/>
                <w:lang w:val="en-GB" w:eastAsia="sk-SK"/>
              </w:rPr>
              <w:t>Romania</w:t>
            </w:r>
          </w:p>
        </w:tc>
        <w:tc>
          <w:tcPr>
            <w:tcW w:w="40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014F9E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2</w:t>
            </w:r>
          </w:p>
        </w:tc>
        <w:tc>
          <w:tcPr>
            <w:tcW w:w="18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FC3A80C"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eastAsia="sk-SK"/>
              </w:rPr>
            </w:pPr>
            <w:r w:rsidRPr="004E0A51">
              <w:rPr>
                <w:rFonts w:ascii="Gulliver-Regular" w:hAnsi="Gulliver-Regular"/>
                <w:sz w:val="20"/>
                <w:lang w:val="en-GB" w:eastAsia="sk-SK"/>
              </w:rPr>
              <w:t>-0.601**</w:t>
            </w:r>
          </w:p>
        </w:tc>
        <w:tc>
          <w:tcPr>
            <w:tcW w:w="68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012B6E4" w14:textId="77777777" w:rsidR="004E0A51" w:rsidRPr="004E0A51" w:rsidRDefault="004E0A51">
            <w:pPr>
              <w:spacing w:after="0"/>
              <w:jc w:val="right"/>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0.006</w:t>
            </w:r>
          </w:p>
        </w:tc>
        <w:tc>
          <w:tcPr>
            <w:tcW w:w="68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8FF1D4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bCs/>
                <w:sz w:val="20"/>
                <w:lang w:val="en-GB" w:eastAsia="sk-SK"/>
              </w:rPr>
            </w:pPr>
            <w:r w:rsidRPr="004E0A51">
              <w:rPr>
                <w:rFonts w:ascii="Gulliver-Regular" w:hAnsi="Gulliver-Regular"/>
                <w:bCs/>
                <w:sz w:val="20"/>
                <w:lang w:val="en-GB" w:eastAsia="sk-SK"/>
              </w:rPr>
              <w:t>19</w:t>
            </w:r>
          </w:p>
        </w:tc>
      </w:tr>
    </w:tbl>
    <w:p w14:paraId="13863C03"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Very strong correlation (|r| from .80 to 1.0).</w:t>
      </w:r>
    </w:p>
    <w:p w14:paraId="1FB8F258"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1535D6BD"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Moderate correlation (|r| from .40 to .59).</w:t>
      </w:r>
    </w:p>
    <w:p w14:paraId="4D7BD00D"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21E94FD3" w14:textId="3BFE9268" w:rsidR="004E0A51" w:rsidRDefault="004E0A51" w:rsidP="004E0A51">
      <w:pPr>
        <w:pStyle w:val="Text"/>
        <w:spacing w:before="60" w:after="60"/>
        <w:ind w:firstLine="180"/>
        <w:rPr>
          <w:rFonts w:ascii="Gulliver-Regular" w:hAnsi="Gulliver-Regular"/>
        </w:rPr>
      </w:pPr>
    </w:p>
    <w:p w14:paraId="47369C54" w14:textId="77777777" w:rsidR="004E0A51" w:rsidRDefault="004E0A51" w:rsidP="004E0A51">
      <w:pPr>
        <w:pStyle w:val="Text"/>
        <w:spacing w:before="60" w:after="60"/>
        <w:ind w:firstLine="18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0EA827F9" w14:textId="77777777" w:rsidR="004E0A51" w:rsidRPr="004E0A51" w:rsidRDefault="004E0A51" w:rsidP="004E0A51">
      <w:pPr>
        <w:pStyle w:val="Text"/>
        <w:spacing w:before="60" w:after="60"/>
        <w:ind w:firstLine="180"/>
        <w:rPr>
          <w:rFonts w:ascii="Gulliver-Regular" w:hAnsi="Gulliver-Regular"/>
        </w:rPr>
      </w:pPr>
      <w:r w:rsidRPr="004E0A51">
        <w:rPr>
          <w:rFonts w:ascii="Gulliver-Regular" w:hAnsi="Gulliver-Regular"/>
        </w:rPr>
        <w:t>Control of Corruption was verified to significantly relate positively to the VAT gap for Croatia and Hungary. They were important in the expected way for the Czech Republic, Estonia, Latvia, Lithuania, and Romania, while three of these countries, the Czech Republic, Romania, and Latvia are among the countries with extensive opportunities for corruption and small constraints at the same time. Estonia and Lithuania are among the countries with great opportunities, albeit with small constraints (</w:t>
      </w:r>
      <w:proofErr w:type="spellStart"/>
      <w:r w:rsidRPr="004E0A51">
        <w:rPr>
          <w:rFonts w:ascii="Gulliver-Regular" w:hAnsi="Gulliver-Regular"/>
        </w:rPr>
        <w:t>Mungiu-Pippidi</w:t>
      </w:r>
      <w:proofErr w:type="spellEnd"/>
      <w:r w:rsidRPr="004E0A51">
        <w:rPr>
          <w:rFonts w:ascii="Gulliver-Regular" w:hAnsi="Gulliver-Regular"/>
        </w:rPr>
        <w:t xml:space="preserve"> &amp; </w:t>
      </w:r>
      <w:proofErr w:type="spellStart"/>
      <w:r w:rsidRPr="004E0A51">
        <w:rPr>
          <w:rFonts w:ascii="Gulliver-Regular" w:hAnsi="Gulliver-Regular"/>
        </w:rPr>
        <w:t>Kukutschka</w:t>
      </w:r>
      <w:proofErr w:type="spellEnd"/>
      <w:r w:rsidRPr="004E0A51">
        <w:rPr>
          <w:rFonts w:ascii="Gulliver-Regular" w:hAnsi="Gulliver-Regular"/>
        </w:rPr>
        <w:t xml:space="preserve">, 2013). It is worth mentioning that countries of the former eastern bloc have had a tendency towards corruption and its general acceptance by society. For instance, some of the CEE countries – Romania, Hungary, Bulgaria, Croatia, Slovakia – are at the lower positions of the in the Global Corruption Index (Global Risk Profile, 2021) ranking. Therefore, it is a long-term challenge for the mentioned countries to eliminate these tendencies toward corrupt practices. </w:t>
      </w:r>
    </w:p>
    <w:p w14:paraId="64123886" w14:textId="77777777" w:rsidR="004E0A51" w:rsidRPr="004E0A51" w:rsidRDefault="004E0A51" w:rsidP="004E0A51">
      <w:pPr>
        <w:pStyle w:val="Text"/>
        <w:spacing w:before="60" w:after="60"/>
        <w:ind w:firstLine="180"/>
        <w:rPr>
          <w:rFonts w:ascii="Gulliver-Regular" w:hAnsi="Gulliver-Regular"/>
          <w:snapToGrid w:val="0"/>
        </w:rPr>
      </w:pPr>
      <w:r w:rsidRPr="004E0A51">
        <w:rPr>
          <w:rFonts w:ascii="Gulliver-Regular" w:hAnsi="Gulliver-Regular"/>
          <w:snapToGrid w:val="0"/>
        </w:rPr>
        <w:t xml:space="preserve">The results open a discussion about the variousness of the factors influencing the VAT gap in particular countries, and we can agree with Montenegro (2021) that the national governments play an important role according to our results, mostly in the case of regulatory quality and control of corruption. Although the historical background of the countries </w:t>
      </w:r>
      <w:proofErr w:type="gramStart"/>
      <w:r w:rsidRPr="004E0A51">
        <w:rPr>
          <w:rFonts w:ascii="Gulliver-Regular" w:hAnsi="Gulliver-Regular"/>
          <w:snapToGrid w:val="0"/>
        </w:rPr>
        <w:t>are</w:t>
      </w:r>
      <w:proofErr w:type="gramEnd"/>
      <w:r w:rsidRPr="004E0A51">
        <w:rPr>
          <w:rFonts w:ascii="Gulliver-Regular" w:hAnsi="Gulliver-Regular"/>
          <w:snapToGrid w:val="0"/>
        </w:rPr>
        <w:t xml:space="preserve"> </w:t>
      </w:r>
      <w:proofErr w:type="spellStart"/>
      <w:r w:rsidRPr="004E0A51">
        <w:rPr>
          <w:rFonts w:ascii="Gulliver-Regular" w:hAnsi="Gulliver-Regular"/>
          <w:snapToGrid w:val="0"/>
        </w:rPr>
        <w:t>comparabe</w:t>
      </w:r>
      <w:proofErr w:type="spellEnd"/>
      <w:r w:rsidRPr="004E0A51">
        <w:rPr>
          <w:rFonts w:ascii="Gulliver-Regular" w:hAnsi="Gulliver-Regular"/>
          <w:snapToGrid w:val="0"/>
        </w:rPr>
        <w:t>, the causes of the problems can be deeper.</w:t>
      </w:r>
    </w:p>
    <w:p w14:paraId="4F5C160E" w14:textId="3A72D2DD" w:rsidR="004E0A51" w:rsidRDefault="004E0A51" w:rsidP="004E0A51">
      <w:pPr>
        <w:pStyle w:val="Text"/>
        <w:spacing w:before="60" w:after="60"/>
        <w:ind w:firstLine="180"/>
        <w:rPr>
          <w:rFonts w:ascii="Gulliver-Regular" w:hAnsi="Gulliver-Regular"/>
          <w:snapToGrid w:val="0"/>
        </w:rPr>
      </w:pPr>
    </w:p>
    <w:p w14:paraId="62104E8F" w14:textId="26A2C1D5" w:rsidR="004E0A51" w:rsidRDefault="004E0A51" w:rsidP="004E0A51">
      <w:pPr>
        <w:pStyle w:val="Text"/>
        <w:spacing w:before="60" w:after="60"/>
        <w:ind w:firstLine="180"/>
        <w:rPr>
          <w:rFonts w:ascii="Gulliver-Regular" w:hAnsi="Gulliver-Regular"/>
          <w:snapToGrid w:val="0"/>
        </w:rPr>
      </w:pPr>
    </w:p>
    <w:p w14:paraId="4CF2C1D9" w14:textId="77777777" w:rsidR="004E0A51" w:rsidRPr="004E0A51" w:rsidRDefault="004E0A51" w:rsidP="004E0A51">
      <w:pPr>
        <w:pStyle w:val="Text"/>
        <w:spacing w:before="60" w:after="60"/>
        <w:ind w:firstLine="180"/>
        <w:rPr>
          <w:rFonts w:ascii="Gulliver-Regular" w:hAnsi="Gulliver-Regular"/>
          <w:snapToGrid w:val="0"/>
        </w:rPr>
      </w:pPr>
    </w:p>
    <w:p w14:paraId="2747CB88" w14:textId="77777777" w:rsidR="004E0A51" w:rsidRPr="004E0A51" w:rsidRDefault="004E0A51" w:rsidP="004E0A51">
      <w:pPr>
        <w:pStyle w:val="Text"/>
        <w:spacing w:before="60" w:after="60"/>
        <w:ind w:firstLine="187"/>
        <w:jc w:val="center"/>
        <w:rPr>
          <w:rFonts w:ascii="Gulliver-Regular" w:hAnsi="Gulliver-Regular"/>
          <w:b/>
        </w:rPr>
      </w:pPr>
      <w:r w:rsidRPr="004E0A51">
        <w:rPr>
          <w:rFonts w:ascii="Gulliver-Regular" w:hAnsi="Gulliver-Regular"/>
          <w:b/>
        </w:rPr>
        <w:t>CONCLUSION AND RECOMMENDATION</w:t>
      </w:r>
    </w:p>
    <w:p w14:paraId="0857F83A" w14:textId="3760A85D" w:rsidR="004E0A51" w:rsidRDefault="004E0A51" w:rsidP="004E0A51">
      <w:pPr>
        <w:pStyle w:val="Text"/>
        <w:spacing w:before="60" w:after="60"/>
        <w:ind w:firstLine="187"/>
        <w:rPr>
          <w:rFonts w:ascii="Gulliver-Regular" w:hAnsi="Gulliver-Regular"/>
        </w:rPr>
      </w:pPr>
      <w:r w:rsidRPr="004E0A51">
        <w:rPr>
          <w:rFonts w:ascii="Gulliver-Regular" w:hAnsi="Gulliver-Regular"/>
        </w:rPr>
        <w:t xml:space="preserve">This paper has identified the relationships between the </w:t>
      </w:r>
      <w:proofErr w:type="spellStart"/>
      <w:r w:rsidRPr="004E0A51">
        <w:rPr>
          <w:rFonts w:ascii="Gulliver-Regular" w:hAnsi="Gulliver-Regular"/>
        </w:rPr>
        <w:t>WGI</w:t>
      </w:r>
      <w:proofErr w:type="spellEnd"/>
      <w:r w:rsidRPr="004E0A51">
        <w:rPr>
          <w:rFonts w:ascii="Gulliver-Regular" w:hAnsi="Gulliver-Regular"/>
        </w:rPr>
        <w:t xml:space="preserve"> indicators and the tax gap on value-added tax in the data of selected CEE countries that are also the member states of the EU. Although we are aware of the differences in political, financial, and tax systems in the analyzed countries, this research was intended to contribute to the issue of tax avoidance, evasion (even fraud), and provide the fields of future intentions</w:t>
      </w:r>
      <w:r w:rsidRPr="004E0A51">
        <w:rPr>
          <w:rFonts w:ascii="Gulliver-Regular" w:hAnsi="Gulliver-Regular"/>
          <w:color w:val="FF0000"/>
        </w:rPr>
        <w:t xml:space="preserve"> </w:t>
      </w:r>
      <w:r w:rsidRPr="004E0A51">
        <w:rPr>
          <w:rFonts w:ascii="Gulliver-Regular" w:hAnsi="Gulliver-Regular"/>
        </w:rPr>
        <w:t>of the states on which the measurements should be focused. The significant relationships for individual countries are presented in Table 8.</w:t>
      </w:r>
    </w:p>
    <w:p w14:paraId="368121C4" w14:textId="77777777" w:rsidR="004E0A51" w:rsidRPr="004E0A51" w:rsidRDefault="004E0A51" w:rsidP="004E0A51">
      <w:pPr>
        <w:pStyle w:val="Text"/>
        <w:spacing w:before="60" w:after="60"/>
        <w:ind w:firstLine="187"/>
        <w:rPr>
          <w:rFonts w:ascii="Gulliver-Regular" w:hAnsi="Gulliver-Regular"/>
        </w:rPr>
      </w:pPr>
      <w:r w:rsidRPr="004E0A51">
        <w:rPr>
          <w:rFonts w:ascii="Gulliver-Regular" w:hAnsi="Gulliver-Regular"/>
        </w:rPr>
        <w:t xml:space="preserve">As it can be seen, the results are ambiguous and partly contradictory due to significant relationships in some of the cases, but in reverse ways (Table 8). Thus, it is not entirely viable to conclude this </w:t>
      </w:r>
      <w:proofErr w:type="gramStart"/>
      <w:r w:rsidRPr="004E0A51">
        <w:rPr>
          <w:rFonts w:ascii="Gulliver-Regular" w:hAnsi="Gulliver-Regular"/>
        </w:rPr>
        <w:t>issue definitely</w:t>
      </w:r>
      <w:proofErr w:type="gramEnd"/>
      <w:r w:rsidRPr="004E0A51">
        <w:rPr>
          <w:rFonts w:ascii="Gulliver-Regular" w:hAnsi="Gulliver-Regular"/>
        </w:rPr>
        <w:t xml:space="preserve">. The explanation of the outcomes from analysis, particularly when the correlation coefficients were relatively high and positive, is a stimulus for any EU state to reduce those factors which, based on the obtained findings, unfavorably open the scissors between the quality of governance and the VAT gap. </w:t>
      </w:r>
    </w:p>
    <w:p w14:paraId="1227CEB5" w14:textId="12F91BD2" w:rsidR="004E0A51" w:rsidRDefault="004E0A51" w:rsidP="004E0A51">
      <w:pPr>
        <w:pStyle w:val="Text"/>
        <w:spacing w:before="60" w:after="60"/>
        <w:ind w:firstLine="187"/>
        <w:rPr>
          <w:rFonts w:ascii="Gulliver-Regular" w:hAnsi="Gulliver-Regular"/>
        </w:rPr>
      </w:pPr>
    </w:p>
    <w:p w14:paraId="79AD02EE" w14:textId="7D5654C6" w:rsidR="004E0A51" w:rsidRDefault="004E0A51" w:rsidP="004E0A51">
      <w:pPr>
        <w:pStyle w:val="Text"/>
        <w:spacing w:before="60" w:after="60"/>
        <w:ind w:firstLine="187"/>
        <w:rPr>
          <w:rFonts w:ascii="Gulliver-Regular" w:hAnsi="Gulliver-Regular"/>
        </w:rPr>
      </w:pPr>
    </w:p>
    <w:p w14:paraId="73FF3AEB" w14:textId="2184477A" w:rsidR="004E0A51" w:rsidRDefault="004E0A51" w:rsidP="004E0A51">
      <w:pPr>
        <w:pStyle w:val="Text"/>
        <w:spacing w:before="60" w:after="60"/>
        <w:ind w:firstLine="187"/>
        <w:rPr>
          <w:rFonts w:ascii="Gulliver-Regular" w:hAnsi="Gulliver-Regular"/>
        </w:rPr>
      </w:pPr>
    </w:p>
    <w:p w14:paraId="6AB6E1C5" w14:textId="0500233A" w:rsidR="004E0A51" w:rsidRDefault="004E0A51" w:rsidP="004E0A51">
      <w:pPr>
        <w:pStyle w:val="Text"/>
        <w:spacing w:before="60" w:after="60"/>
        <w:ind w:firstLine="187"/>
        <w:rPr>
          <w:rFonts w:ascii="Gulliver-Regular" w:hAnsi="Gulliver-Regular"/>
        </w:rPr>
      </w:pPr>
    </w:p>
    <w:p w14:paraId="715427AF" w14:textId="44834695" w:rsidR="004E0A51" w:rsidRDefault="004E0A51" w:rsidP="004E0A51">
      <w:pPr>
        <w:pStyle w:val="Text"/>
        <w:spacing w:before="60" w:after="60"/>
        <w:ind w:firstLine="187"/>
        <w:rPr>
          <w:rFonts w:ascii="Gulliver-Regular" w:hAnsi="Gulliver-Regular"/>
        </w:rPr>
      </w:pPr>
    </w:p>
    <w:p w14:paraId="7B378C14" w14:textId="1D05E62F" w:rsidR="004E0A51" w:rsidRDefault="004E0A51" w:rsidP="004E0A51">
      <w:pPr>
        <w:pStyle w:val="Text"/>
        <w:spacing w:before="60" w:after="60"/>
        <w:ind w:firstLine="187"/>
        <w:rPr>
          <w:rFonts w:ascii="Gulliver-Regular" w:hAnsi="Gulliver-Regular"/>
        </w:rPr>
      </w:pPr>
    </w:p>
    <w:p w14:paraId="065C69ED" w14:textId="22585C33" w:rsidR="004E0A51" w:rsidRDefault="004E0A51" w:rsidP="004E0A51">
      <w:pPr>
        <w:pStyle w:val="Text"/>
        <w:spacing w:before="60" w:after="60"/>
        <w:ind w:firstLine="187"/>
        <w:rPr>
          <w:rFonts w:ascii="Gulliver-Regular" w:hAnsi="Gulliver-Regular"/>
        </w:rPr>
      </w:pPr>
    </w:p>
    <w:p w14:paraId="5D3DC3F5" w14:textId="77777777" w:rsidR="004E0A51" w:rsidRPr="004E0A51" w:rsidRDefault="004E0A51" w:rsidP="004E0A51">
      <w:pPr>
        <w:pStyle w:val="Text"/>
        <w:spacing w:before="60" w:after="60"/>
        <w:ind w:firstLine="187"/>
        <w:rPr>
          <w:rFonts w:ascii="Gulliver-Regular" w:hAnsi="Gulliver-Regular"/>
        </w:rPr>
      </w:pPr>
    </w:p>
    <w:p w14:paraId="74E3B2D8" w14:textId="77777777" w:rsidR="004E0A51" w:rsidRDefault="004E0A51" w:rsidP="004E0A51">
      <w:pPr>
        <w:pStyle w:val="Text"/>
        <w:spacing w:before="60" w:after="60"/>
        <w:rPr>
          <w:rFonts w:ascii="Gulliver-Regular" w:hAnsi="Gulliver-Regular"/>
          <w:b/>
          <w:bCs/>
        </w:rPr>
        <w:sectPr w:rsidR="004E0A51" w:rsidSect="000F18FD">
          <w:type w:val="continuous"/>
          <w:pgSz w:w="12240" w:h="15840" w:code="1"/>
          <w:pgMar w:top="1440" w:right="1440" w:bottom="864" w:left="1440" w:header="576" w:footer="432" w:gutter="0"/>
          <w:cols w:num="2" w:space="425"/>
          <w:docGrid w:linePitch="299"/>
        </w:sectPr>
      </w:pPr>
    </w:p>
    <w:p w14:paraId="253C604B" w14:textId="630EDF87" w:rsidR="004E0A51" w:rsidRPr="004E0A51" w:rsidRDefault="004E0A51" w:rsidP="004E0A51">
      <w:pPr>
        <w:pStyle w:val="Text"/>
        <w:spacing w:before="60" w:after="60"/>
        <w:rPr>
          <w:rFonts w:ascii="Gulliver-Regular" w:hAnsi="Gulliver-Regular"/>
        </w:rPr>
      </w:pPr>
      <w:r w:rsidRPr="004E0A51">
        <w:rPr>
          <w:rFonts w:ascii="Gulliver-Regular" w:hAnsi="Gulliver-Regular"/>
          <w:b/>
          <w:bCs/>
        </w:rPr>
        <w:t>Table 8:</w:t>
      </w:r>
      <w:r w:rsidRPr="004E0A51">
        <w:rPr>
          <w:rFonts w:ascii="Gulliver-Regular" w:hAnsi="Gulliver-Regular"/>
        </w:rPr>
        <w:t xml:space="preserve"> Significant relationships between the </w:t>
      </w:r>
      <w:proofErr w:type="spellStart"/>
      <w:r w:rsidRPr="004E0A51">
        <w:rPr>
          <w:rFonts w:ascii="Gulliver-Regular" w:hAnsi="Gulliver-Regular"/>
        </w:rPr>
        <w:t>WGI</w:t>
      </w:r>
      <w:proofErr w:type="spellEnd"/>
      <w:r w:rsidRPr="004E0A51">
        <w:rPr>
          <w:rFonts w:ascii="Gulliver-Regular" w:hAnsi="Gulliver-Regular"/>
        </w:rPr>
        <w:t xml:space="preserve"> indicators and the tax gap on VAT in CEE countries</w:t>
      </w:r>
    </w:p>
    <w:tbl>
      <w:tblPr>
        <w:tblStyle w:val="Tabukasmriekou1svetl1"/>
        <w:tblW w:w="0" w:type="auto"/>
        <w:tblInd w:w="0" w:type="dxa"/>
        <w:tblLayout w:type="fixed"/>
        <w:tblLook w:val="04A0" w:firstRow="1" w:lastRow="0" w:firstColumn="1" w:lastColumn="0" w:noHBand="0" w:noVBand="1"/>
      </w:tblPr>
      <w:tblGrid>
        <w:gridCol w:w="1838"/>
        <w:gridCol w:w="1247"/>
        <w:gridCol w:w="1276"/>
        <w:gridCol w:w="1559"/>
        <w:gridCol w:w="1418"/>
        <w:gridCol w:w="775"/>
        <w:gridCol w:w="1175"/>
      </w:tblGrid>
      <w:tr w:rsidR="004E0A51" w:rsidRPr="004E0A51" w14:paraId="259DD6DB" w14:textId="77777777" w:rsidTr="004E0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1846E15C" w14:textId="77777777" w:rsidR="004E0A51" w:rsidRPr="004E0A51" w:rsidRDefault="004E0A51">
            <w:pPr>
              <w:spacing w:after="0"/>
              <w:jc w:val="center"/>
              <w:rPr>
                <w:rFonts w:ascii="Gulliver-Regular" w:hAnsi="Gulliver-Regular"/>
                <w:sz w:val="20"/>
                <w:lang w:val="en-GB"/>
              </w:rPr>
            </w:pPr>
            <w:r w:rsidRPr="004E0A51">
              <w:rPr>
                <w:rFonts w:ascii="Gulliver-Regular" w:hAnsi="Gulliver-Regular"/>
                <w:sz w:val="20"/>
                <w:lang w:val="en-GB"/>
              </w:rPr>
              <w:t xml:space="preserve">Country </w:t>
            </w:r>
          </w:p>
        </w:tc>
        <w:tc>
          <w:tcPr>
            <w:tcW w:w="7450" w:type="dxa"/>
            <w:gridSpan w:val="6"/>
            <w:tcBorders>
              <w:top w:val="single" w:sz="4" w:space="0" w:color="999999" w:themeColor="text1" w:themeTint="66"/>
              <w:left w:val="single" w:sz="4" w:space="0" w:color="999999" w:themeColor="text1" w:themeTint="66"/>
              <w:right w:val="single" w:sz="4" w:space="0" w:color="999999" w:themeColor="text1" w:themeTint="66"/>
            </w:tcBorders>
            <w:hideMark/>
          </w:tcPr>
          <w:p w14:paraId="72403E2A" w14:textId="77777777" w:rsidR="004E0A51" w:rsidRPr="004E0A51" w:rsidRDefault="004E0A51">
            <w:pPr>
              <w:spacing w:after="0"/>
              <w:jc w:val="center"/>
              <w:cnfStyle w:val="100000000000" w:firstRow="1" w:lastRow="0" w:firstColumn="0" w:lastColumn="0" w:oddVBand="0" w:evenVBand="0" w:oddHBand="0" w:evenHBand="0" w:firstRowFirstColumn="0" w:firstRowLastColumn="0" w:lastRowFirstColumn="0" w:lastRowLastColumn="0"/>
              <w:rPr>
                <w:rFonts w:ascii="Gulliver-Regular" w:hAnsi="Gulliver-Regular"/>
                <w:sz w:val="20"/>
                <w:lang w:val="en-GB"/>
              </w:rPr>
            </w:pPr>
            <w:proofErr w:type="spellStart"/>
            <w:r w:rsidRPr="004E0A51">
              <w:rPr>
                <w:rFonts w:ascii="Gulliver-Regular" w:hAnsi="Gulliver-Regular"/>
                <w:sz w:val="20"/>
                <w:lang w:val="en-GB"/>
              </w:rPr>
              <w:t>WGI</w:t>
            </w:r>
            <w:proofErr w:type="spellEnd"/>
            <w:r w:rsidRPr="004E0A51">
              <w:rPr>
                <w:rFonts w:ascii="Gulliver-Regular" w:hAnsi="Gulliver-Regular"/>
                <w:sz w:val="20"/>
                <w:lang w:val="en-GB"/>
              </w:rPr>
              <w:t xml:space="preserve"> dimension</w:t>
            </w:r>
          </w:p>
        </w:tc>
      </w:tr>
      <w:tr w:rsidR="004E0A51" w:rsidRPr="004E0A51" w14:paraId="75A2CB4E" w14:textId="77777777" w:rsidTr="004E0A51">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vAlign w:val="center"/>
            <w:hideMark/>
          </w:tcPr>
          <w:p w14:paraId="3348644E" w14:textId="77777777" w:rsidR="004E0A51" w:rsidRPr="004E0A51" w:rsidRDefault="004E0A51">
            <w:pPr>
              <w:widowControl/>
              <w:spacing w:after="0"/>
              <w:jc w:val="left"/>
              <w:rPr>
                <w:rFonts w:ascii="Gulliver-Regular" w:hAnsi="Gulliver-Regular"/>
                <w:sz w:val="20"/>
                <w:lang w:val="en-GB"/>
              </w:rPr>
            </w:pPr>
          </w:p>
        </w:tc>
        <w:tc>
          <w:tcPr>
            <w:tcW w:w="1247"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7B3CC88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Control of Corruption</w:t>
            </w:r>
          </w:p>
        </w:tc>
        <w:tc>
          <w:tcPr>
            <w:tcW w:w="1276"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65E57B6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Regulatory Quality</w:t>
            </w:r>
          </w:p>
        </w:tc>
        <w:tc>
          <w:tcPr>
            <w:tcW w:w="1559"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2FBBACE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eastAsia="sk-SK"/>
              </w:rPr>
              <w:t>Voice and Accountability</w:t>
            </w:r>
          </w:p>
        </w:tc>
        <w:tc>
          <w:tcPr>
            <w:tcW w:w="1418"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4DE40FC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Government Effectiveness</w:t>
            </w:r>
          </w:p>
        </w:tc>
        <w:tc>
          <w:tcPr>
            <w:tcW w:w="775"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413D14B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Rule of Law</w:t>
            </w:r>
          </w:p>
        </w:tc>
        <w:tc>
          <w:tcPr>
            <w:tcW w:w="1175" w:type="dxa"/>
            <w:tcBorders>
              <w:top w:val="single" w:sz="4" w:space="0" w:color="999999" w:themeColor="text1" w:themeTint="66"/>
              <w:left w:val="single" w:sz="4" w:space="0" w:color="999999" w:themeColor="text1" w:themeTint="66"/>
              <w:bottom w:val="double" w:sz="4" w:space="0" w:color="999999" w:themeColor="text1" w:themeTint="66"/>
              <w:right w:val="single" w:sz="4" w:space="0" w:color="999999" w:themeColor="text1" w:themeTint="66"/>
            </w:tcBorders>
            <w:hideMark/>
          </w:tcPr>
          <w:p w14:paraId="5F4F78E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 xml:space="preserve">Polit. Stability </w:t>
            </w:r>
          </w:p>
          <w:p w14:paraId="06DE356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and Absence of Viol./</w:t>
            </w:r>
          </w:p>
          <w:p w14:paraId="15B2563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sz w:val="20"/>
                <w:lang w:val="en-GB"/>
              </w:rPr>
            </w:pPr>
            <w:r w:rsidRPr="004E0A51">
              <w:rPr>
                <w:rFonts w:ascii="Gulliver-Regular" w:hAnsi="Gulliver-Regular"/>
                <w:sz w:val="20"/>
                <w:lang w:val="en-GB"/>
              </w:rPr>
              <w:t>Terrorism</w:t>
            </w:r>
          </w:p>
        </w:tc>
      </w:tr>
      <w:tr w:rsidR="004E0A51" w:rsidRPr="004E0A51" w14:paraId="0FCE3C0B"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15E602F"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Bulgaria</w:t>
            </w:r>
          </w:p>
        </w:tc>
        <w:tc>
          <w:tcPr>
            <w:tcW w:w="1247"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9C8D7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276"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EBF66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57DF0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134A5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81698D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doub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F1FEF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5CB2091C"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E23953"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Croatia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02BE225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eastAsia="sk-SK"/>
              </w:rPr>
              <w:t>+ **</w:t>
            </w:r>
            <w:r w:rsidRPr="004E0A51">
              <w:rPr>
                <w:rFonts w:ascii="Gulliver-Regular" w:hAnsi="Gulliver-Regular"/>
                <w:sz w:val="20"/>
                <w:lang w:val="en-GB"/>
              </w:rPr>
              <w:t>*</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5338EAF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9B649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6E0729"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158CB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7EC4BDC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r>
      <w:tr w:rsidR="004E0A51" w:rsidRPr="004E0A51" w14:paraId="72EBD21D"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5145475"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Czech Republic</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67F8EBD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7B663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00C91FC"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495A1F"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132E7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EAE8A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1541398A"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E88A29"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Estonia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030928D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1170100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1322B8A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3613AC2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2BC1005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36896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4039462E"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491ACF"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Hungary</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4996291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eastAsia="sk-SK"/>
              </w:rPr>
              <w:t>+ *</w:t>
            </w:r>
            <w:r w:rsidRPr="004E0A51">
              <w:rPr>
                <w:rFonts w:ascii="Gulliver-Regular" w:hAnsi="Gulliver-Regular"/>
                <w:sz w:val="20"/>
                <w:lang w:val="en-GB"/>
              </w:rPr>
              <w:t>*</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20B3A33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268A2F0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1E3A1D05"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3678129F"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6F346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6C08D555"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461D7D"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Latvia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4CE628E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B7CA2"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A92979"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A8B98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E2878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B76EA57"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78ED02BD"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ED13E5"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Lithuania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0720EEF8"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157C4B1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5C5A085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04FE36D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278B868A" w14:textId="77777777" w:rsidR="004E0A51" w:rsidRPr="004E0A51" w:rsidRDefault="004E0A51">
            <w:pPr>
              <w:tabs>
                <w:tab w:val="center" w:pos="527"/>
                <w:tab w:val="left" w:pos="1005"/>
              </w:tabs>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B5363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3DABECAF"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8F000D"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Poland</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01C21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527F1417"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7032913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5EFADE0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5924789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337F6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1920FB49"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7A3D3FD"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Romania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A6A6A6" w:themeFill="background1" w:themeFillShade="A6"/>
            <w:hideMark/>
          </w:tcPr>
          <w:p w14:paraId="33083F4B"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70E46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F8350A"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179BB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BEC36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5C3319"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r w:rsidR="004E0A51" w:rsidRPr="004E0A51" w14:paraId="526804B5" w14:textId="77777777" w:rsidTr="004E0A5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54D1A6"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Slovak Republic</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FB94A3"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82080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7BEEEE"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8A053D"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F7DAC4"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2F2F2" w:themeFill="background1" w:themeFillShade="F2"/>
            <w:hideMark/>
          </w:tcPr>
          <w:p w14:paraId="0390505F"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r w:rsidRPr="004E0A51">
              <w:rPr>
                <w:rFonts w:ascii="Gulliver-Regular" w:hAnsi="Gulliver-Regular"/>
                <w:sz w:val="20"/>
                <w:lang w:val="en-GB"/>
              </w:rPr>
              <w:t>+ **</w:t>
            </w:r>
          </w:p>
        </w:tc>
      </w:tr>
      <w:tr w:rsidR="004E0A51" w:rsidRPr="004E0A51" w14:paraId="2241C7CE" w14:textId="77777777" w:rsidTr="004E0A51">
        <w:trPr>
          <w:trHeight w:val="58"/>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B89766E" w14:textId="77777777" w:rsidR="004E0A51" w:rsidRPr="004E0A51" w:rsidRDefault="004E0A51">
            <w:pPr>
              <w:spacing w:after="0"/>
              <w:rPr>
                <w:rFonts w:ascii="Gulliver-Regular" w:hAnsi="Gulliver-Regular"/>
                <w:b w:val="0"/>
                <w:bCs w:val="0"/>
                <w:sz w:val="20"/>
                <w:lang w:val="en-GB"/>
              </w:rPr>
            </w:pPr>
            <w:r w:rsidRPr="004E0A51">
              <w:rPr>
                <w:rFonts w:ascii="Gulliver-Regular" w:hAnsi="Gulliver-Regular"/>
                <w:b w:val="0"/>
                <w:bCs w:val="0"/>
                <w:sz w:val="20"/>
                <w:lang w:val="en-GB"/>
              </w:rPr>
              <w:t>Slovenia</w:t>
            </w:r>
          </w:p>
        </w:tc>
        <w:tc>
          <w:tcPr>
            <w:tcW w:w="124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9162A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2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81A05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55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F0178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41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C23556"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7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84E1B0"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c>
          <w:tcPr>
            <w:tcW w:w="117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D2CE51" w14:textId="77777777" w:rsidR="004E0A51" w:rsidRPr="004E0A51" w:rsidRDefault="004E0A51">
            <w:pPr>
              <w:spacing w:after="0"/>
              <w:jc w:val="center"/>
              <w:cnfStyle w:val="000000000000" w:firstRow="0" w:lastRow="0" w:firstColumn="0" w:lastColumn="0" w:oddVBand="0" w:evenVBand="0" w:oddHBand="0" w:evenHBand="0" w:firstRowFirstColumn="0" w:firstRowLastColumn="0" w:lastRowFirstColumn="0" w:lastRowLastColumn="0"/>
              <w:rPr>
                <w:rFonts w:ascii="Gulliver-Regular" w:hAnsi="Gulliver-Regular"/>
                <w:color w:val="FF0000"/>
                <w:sz w:val="20"/>
                <w:lang w:val="en-GB"/>
              </w:rPr>
            </w:pPr>
          </w:p>
        </w:tc>
      </w:tr>
    </w:tbl>
    <w:p w14:paraId="509ADD29"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Very strong correlation (|r| from .80 to 1.0).</w:t>
      </w:r>
    </w:p>
    <w:p w14:paraId="602357FE"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Strong correlation (|r| from .60 to 0.79).</w:t>
      </w:r>
    </w:p>
    <w:p w14:paraId="46F38CE8"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 Moderate correlation (|r| from .40 to .59).</w:t>
      </w:r>
    </w:p>
    <w:p w14:paraId="08716DC3" w14:textId="77777777" w:rsidR="004E0A51" w:rsidRPr="004E0A51" w:rsidRDefault="004E0A51" w:rsidP="004E0A51">
      <w:pPr>
        <w:pStyle w:val="Text"/>
        <w:spacing w:before="60" w:after="60"/>
        <w:rPr>
          <w:rFonts w:ascii="Gulliver-Regular" w:hAnsi="Gulliver-Regular"/>
        </w:rPr>
      </w:pPr>
      <w:r w:rsidRPr="004E0A51">
        <w:rPr>
          <w:rFonts w:ascii="Gulliver-Regular" w:hAnsi="Gulliver-Regular"/>
        </w:rPr>
        <w:t>Source: authors</w:t>
      </w:r>
      <w:r w:rsidRPr="004E0A51">
        <w:rPr>
          <w:rFonts w:ascii="Gulliver-Regular" w:hAnsi="Gulliver-Regular"/>
          <w:color w:val="000000" w:themeColor="text1"/>
          <w:lang w:eastAsia="zh-CN"/>
        </w:rPr>
        <w:t>’ results</w:t>
      </w:r>
      <w:r w:rsidRPr="004E0A51">
        <w:rPr>
          <w:rFonts w:ascii="Gulliver-Regular" w:hAnsi="Gulliver-Regular"/>
        </w:rPr>
        <w:t>, 2021.</w:t>
      </w:r>
    </w:p>
    <w:p w14:paraId="028C7E47" w14:textId="25937A6D" w:rsidR="004E0A51" w:rsidRDefault="004E0A51" w:rsidP="004E0A51">
      <w:pPr>
        <w:pStyle w:val="Text"/>
        <w:spacing w:before="60" w:after="60"/>
        <w:rPr>
          <w:rFonts w:ascii="Gulliver-Regular" w:hAnsi="Gulliver-Regular"/>
        </w:rPr>
      </w:pPr>
    </w:p>
    <w:p w14:paraId="5E50F689" w14:textId="77777777" w:rsidR="004E0A51" w:rsidRDefault="004E0A51" w:rsidP="004E0A51">
      <w:pPr>
        <w:pStyle w:val="Text"/>
        <w:spacing w:before="60" w:after="60"/>
        <w:rPr>
          <w:rFonts w:ascii="Gulliver-Regular" w:hAnsi="Gulliver-Regular"/>
        </w:rPr>
        <w:sectPr w:rsidR="004E0A51" w:rsidSect="004E0A51">
          <w:type w:val="continuous"/>
          <w:pgSz w:w="12240" w:h="15840" w:code="1"/>
          <w:pgMar w:top="1440" w:right="1440" w:bottom="864" w:left="1440" w:header="576" w:footer="432" w:gutter="0"/>
          <w:cols w:space="425"/>
          <w:docGrid w:linePitch="299"/>
        </w:sectPr>
      </w:pPr>
    </w:p>
    <w:p w14:paraId="232A24C1" w14:textId="77777777" w:rsidR="004E0A51" w:rsidRPr="004E0A51" w:rsidRDefault="004E0A51" w:rsidP="004E0A51">
      <w:pPr>
        <w:pStyle w:val="Text"/>
        <w:spacing w:before="60" w:after="60"/>
        <w:ind w:firstLine="187"/>
        <w:rPr>
          <w:rFonts w:ascii="Gulliver-Regular" w:hAnsi="Gulliver-Regular"/>
        </w:rPr>
      </w:pPr>
      <w:r w:rsidRPr="004E0A51">
        <w:rPr>
          <w:rFonts w:ascii="Gulliver-Regular" w:hAnsi="Gulliver-Regular"/>
        </w:rPr>
        <w:t xml:space="preserve">In future, it would be appropriate to focus on panel regression and to review the data over a longer </w:t>
      </w:r>
      <w:proofErr w:type="gramStart"/>
      <w:r w:rsidRPr="004E0A51">
        <w:rPr>
          <w:rFonts w:ascii="Gulliver-Regular" w:hAnsi="Gulliver-Regular"/>
        </w:rPr>
        <w:t>period of time</w:t>
      </w:r>
      <w:proofErr w:type="gramEnd"/>
      <w:r w:rsidRPr="004E0A51">
        <w:rPr>
          <w:rFonts w:ascii="Gulliver-Regular" w:hAnsi="Gulliver-Regular"/>
        </w:rPr>
        <w:t>. EU documents on the rules against the practices of tax avoidance that are constituted in Council Directive (EU) 2016/1164 of July 12, 2016, define the measures in their basic frames; their implementation in the form of legal constructions of these measures corresponds to the nature of the legal systems of individual EU member states. According to the research results, a deeper analysis would be interesting in the case of Estonia, with a low VAT gap, to find out the factors lowering the tax gap (and the case of Estonia should also be compared with Lithuania). The factors revealed by the research could serve as an inspiration for other countries, e.g., Hungary and Poland, to take measures to lower the VAT gap.</w:t>
      </w:r>
    </w:p>
    <w:p w14:paraId="22D0C221" w14:textId="77777777" w:rsidR="004E0A51" w:rsidRPr="004E0A51" w:rsidRDefault="004E0A51" w:rsidP="004E0A51">
      <w:pPr>
        <w:pStyle w:val="Text"/>
        <w:spacing w:before="60" w:after="60"/>
        <w:ind w:firstLine="187"/>
        <w:rPr>
          <w:rFonts w:ascii="Gulliver-Regular" w:hAnsi="Gulliver-Regular"/>
        </w:rPr>
      </w:pPr>
      <w:r w:rsidRPr="004E0A51">
        <w:rPr>
          <w:rFonts w:ascii="Gulliver-Regular" w:hAnsi="Gulliver-Regular"/>
        </w:rPr>
        <w:t xml:space="preserve">The Hungarian standard VAT rate of 27% is the highest one in the EU and this raises the question of whether its level is the main cause of tax evasion in Hungary. Some authors have noted the unclear impact of changes in VAT rates on VAT gaps (Luca et al., 2013). On the other hand, according to the results of Kowal &amp; </w:t>
      </w:r>
      <w:proofErr w:type="spellStart"/>
      <w:r w:rsidRPr="004E0A51">
        <w:rPr>
          <w:rFonts w:ascii="Gulliver-Regular" w:hAnsi="Gulliver-Regular"/>
        </w:rPr>
        <w:t>Przekota</w:t>
      </w:r>
      <w:proofErr w:type="spellEnd"/>
      <w:r w:rsidRPr="004E0A51">
        <w:rPr>
          <w:rFonts w:ascii="Gulliver-Regular" w:hAnsi="Gulliver-Regular"/>
        </w:rPr>
        <w:t xml:space="preserve"> (2021), there is a positive correlation between the standard rate and the number of preferential rates and the VAT gap, i.e., countries with a higher standard rate of the VAT and more preferential rates have a greater VAT gap.</w:t>
      </w:r>
    </w:p>
    <w:p w14:paraId="3DB42070" w14:textId="77777777" w:rsidR="004E0A51" w:rsidRPr="004E0A51" w:rsidRDefault="004E0A51" w:rsidP="004E0A51">
      <w:pPr>
        <w:spacing w:before="60" w:after="60"/>
        <w:ind w:firstLine="187"/>
        <w:rPr>
          <w:rFonts w:ascii="Gulliver-Regular" w:hAnsi="Gulliver-Regular"/>
          <w:sz w:val="20"/>
          <w:lang w:val="en-GB"/>
        </w:rPr>
      </w:pPr>
      <w:r w:rsidRPr="004E0A51">
        <w:rPr>
          <w:rFonts w:ascii="Gulliver-Regular" w:hAnsi="Gulliver-Regular"/>
          <w:sz w:val="20"/>
          <w:lang w:val="en-GB"/>
        </w:rPr>
        <w:t>The standard VAT rate is also relatively high in Poland, however the tax gap is gradually decreasing due to several measures - e.g., in 2016 the Standard Audit File (pl. “</w:t>
      </w:r>
      <w:proofErr w:type="spellStart"/>
      <w:r w:rsidRPr="004E0A51">
        <w:rPr>
          <w:rFonts w:ascii="Gulliver-Regular" w:hAnsi="Gulliver-Regular"/>
          <w:sz w:val="20"/>
          <w:lang w:val="en-GB"/>
        </w:rPr>
        <w:t>Jednolity</w:t>
      </w:r>
      <w:proofErr w:type="spellEnd"/>
      <w:r w:rsidRPr="004E0A51">
        <w:rPr>
          <w:rFonts w:ascii="Gulliver-Regular" w:hAnsi="Gulliver-Regular"/>
          <w:sz w:val="20"/>
          <w:lang w:val="en-GB"/>
        </w:rPr>
        <w:t xml:space="preserve"> </w:t>
      </w:r>
      <w:proofErr w:type="spellStart"/>
      <w:r w:rsidRPr="004E0A51">
        <w:rPr>
          <w:rFonts w:ascii="Gulliver-Regular" w:hAnsi="Gulliver-Regular"/>
          <w:sz w:val="20"/>
          <w:lang w:val="en-GB"/>
        </w:rPr>
        <w:t>Plik</w:t>
      </w:r>
      <w:proofErr w:type="spellEnd"/>
      <w:r w:rsidRPr="004E0A51">
        <w:rPr>
          <w:rFonts w:ascii="Gulliver-Regular" w:hAnsi="Gulliver-Regular"/>
          <w:sz w:val="20"/>
          <w:lang w:val="en-GB"/>
        </w:rPr>
        <w:t xml:space="preserve"> </w:t>
      </w:r>
      <w:proofErr w:type="spellStart"/>
      <w:r w:rsidRPr="004E0A51">
        <w:rPr>
          <w:rFonts w:ascii="Gulliver-Regular" w:hAnsi="Gulliver-Regular"/>
          <w:sz w:val="20"/>
          <w:lang w:val="en-GB"/>
        </w:rPr>
        <w:t>Kontrolny</w:t>
      </w:r>
      <w:proofErr w:type="spellEnd"/>
      <w:r w:rsidRPr="004E0A51">
        <w:rPr>
          <w:rFonts w:ascii="Gulliver-Regular" w:hAnsi="Gulliver-Regular"/>
          <w:sz w:val="20"/>
          <w:lang w:val="en-GB"/>
        </w:rPr>
        <w:t xml:space="preserve">”) was introduced, which is equivalent to </w:t>
      </w:r>
      <w:proofErr w:type="spellStart"/>
      <w:r w:rsidRPr="004E0A51">
        <w:rPr>
          <w:rFonts w:ascii="Gulliver-Regular" w:hAnsi="Gulliver-Regular"/>
          <w:sz w:val="20"/>
          <w:lang w:val="en-GB"/>
        </w:rPr>
        <w:t>SAF</w:t>
      </w:r>
      <w:proofErr w:type="spellEnd"/>
      <w:r w:rsidRPr="004E0A51">
        <w:rPr>
          <w:rFonts w:ascii="Gulliver-Regular" w:hAnsi="Gulliver-Regular"/>
          <w:sz w:val="20"/>
          <w:lang w:val="en-GB"/>
        </w:rPr>
        <w:t xml:space="preserve">-T, digitization of VAT tax returns, split payment mechanism, and publication of Whitelist tax entities, which include bank account numbers, or STIR - IT system for invoicing information (pl. “System </w:t>
      </w:r>
      <w:proofErr w:type="spellStart"/>
      <w:r w:rsidRPr="004E0A51">
        <w:rPr>
          <w:rFonts w:ascii="Gulliver-Regular" w:hAnsi="Gulliver-Regular"/>
          <w:sz w:val="20"/>
          <w:lang w:val="en-GB"/>
        </w:rPr>
        <w:t>Teleinformatyczna</w:t>
      </w:r>
      <w:proofErr w:type="spellEnd"/>
      <w:r w:rsidRPr="004E0A51">
        <w:rPr>
          <w:rFonts w:ascii="Gulliver-Regular" w:hAnsi="Gulliver-Regular"/>
          <w:sz w:val="20"/>
          <w:lang w:val="en-GB"/>
        </w:rPr>
        <w:t xml:space="preserve"> </w:t>
      </w:r>
      <w:proofErr w:type="spellStart"/>
      <w:r w:rsidRPr="004E0A51">
        <w:rPr>
          <w:rFonts w:ascii="Gulliver-Regular" w:hAnsi="Gulliver-Regular"/>
          <w:sz w:val="20"/>
          <w:lang w:val="en-GB"/>
        </w:rPr>
        <w:t>Informacji</w:t>
      </w:r>
      <w:proofErr w:type="spellEnd"/>
      <w:r w:rsidRPr="004E0A51">
        <w:rPr>
          <w:rFonts w:ascii="Gulliver-Regular" w:hAnsi="Gulliver-Regular"/>
          <w:sz w:val="20"/>
          <w:lang w:val="en-GB"/>
        </w:rPr>
        <w:t xml:space="preserve"> </w:t>
      </w:r>
      <w:proofErr w:type="spellStart"/>
      <w:r w:rsidRPr="004E0A51">
        <w:rPr>
          <w:rFonts w:ascii="Gulliver-Regular" w:hAnsi="Gulliver-Regular"/>
          <w:sz w:val="20"/>
          <w:lang w:val="en-GB"/>
        </w:rPr>
        <w:t>Rozliczeniowa</w:t>
      </w:r>
      <w:proofErr w:type="spellEnd"/>
      <w:r w:rsidRPr="004E0A51">
        <w:rPr>
          <w:rFonts w:ascii="Gulliver-Regular" w:hAnsi="Gulliver-Regular"/>
          <w:sz w:val="20"/>
          <w:lang w:val="en-GB"/>
        </w:rPr>
        <w:t xml:space="preserve">”). STIR is an innovative tool for the exchange of data between the Polish tax authorities and the banking sector, which allows the tax authorities to identify fictitious transactions and temporarily block the account. With effect from 1 January 2021, an amendment to the Polish VAT Act was adopted, informally referred to by the Minister of Finance as "SLIM VAT", derived from "Simple, Local and Modern VAT", with additional VAT measures that should lead to a reduction in the tax gap. </w:t>
      </w:r>
    </w:p>
    <w:p w14:paraId="424D4839" w14:textId="77777777" w:rsidR="004E0A51" w:rsidRPr="004E0A51" w:rsidRDefault="004E0A51" w:rsidP="004E0A51">
      <w:pPr>
        <w:spacing w:before="60" w:after="60"/>
        <w:ind w:firstLine="187"/>
        <w:rPr>
          <w:rFonts w:ascii="Gulliver-Regular" w:hAnsi="Gulliver-Regular"/>
          <w:sz w:val="20"/>
          <w:lang w:val="en-GB"/>
        </w:rPr>
      </w:pPr>
      <w:r w:rsidRPr="004E0A51">
        <w:rPr>
          <w:rFonts w:ascii="Gulliver-Regular" w:hAnsi="Gulliver-Regular"/>
          <w:sz w:val="20"/>
          <w:lang w:val="en-GB"/>
        </w:rPr>
        <w:t>A measure applied by several countries (e. g. Bulgaria, Czechia, Hungary, Poland, Slovakia) is a reverse charge for selected services, for instance, in Hungary since 2006, for the supply of construction and assembly services and the supply of real estate, currently also from 1 April 2021 for the services of leasing employees or for personnel leasing services only in connection with construction (KPMG, 2021). In Poland, a reverse charge was introduced in 2011 in connection with the scrap metal trade, and over time it has spread to other types of products and goods, most in comparison with other countries. Nevertheless, the introduction of a reverse charge did not bring a rapid decline in VAT non-compliance, although it was an effective tool for well-known tax fraud practices. At the same time, however, it has made it possible to conduct other types of undesirable practices (</w:t>
      </w:r>
      <w:proofErr w:type="spellStart"/>
      <w:r w:rsidRPr="004E0A51">
        <w:rPr>
          <w:rFonts w:ascii="Gulliver-Regular" w:hAnsi="Gulliver-Regular"/>
          <w:sz w:val="20"/>
          <w:lang w:val="en-GB"/>
        </w:rPr>
        <w:t>Poniatowski</w:t>
      </w:r>
      <w:proofErr w:type="spellEnd"/>
      <w:r w:rsidRPr="004E0A51">
        <w:rPr>
          <w:rFonts w:ascii="Gulliver-Regular" w:hAnsi="Gulliver-Regular"/>
          <w:sz w:val="20"/>
          <w:lang w:val="en-GB"/>
        </w:rPr>
        <w:t>, 2016).</w:t>
      </w:r>
    </w:p>
    <w:p w14:paraId="29D87CE3" w14:textId="77777777" w:rsidR="004E0A51" w:rsidRPr="004E0A51" w:rsidRDefault="004E0A51" w:rsidP="004E0A51">
      <w:pPr>
        <w:spacing w:before="60" w:after="60"/>
        <w:ind w:firstLine="187"/>
        <w:rPr>
          <w:rFonts w:ascii="Gulliver-Regular" w:hAnsi="Gulliver-Regular"/>
          <w:sz w:val="20"/>
          <w:lang w:val="en-GB"/>
        </w:rPr>
      </w:pPr>
      <w:r w:rsidRPr="004E0A51">
        <w:rPr>
          <w:rFonts w:ascii="Gulliver-Regular" w:hAnsi="Gulliver-Regular"/>
          <w:sz w:val="20"/>
          <w:lang w:val="en-GB"/>
        </w:rPr>
        <w:t>Recently, a very topical and highly discussed issue in the fight against international tax evasion is the progress in technological development, which has required changes in the way public budget revenues will be achieved. We are witnessing confirmation of predictions that it is technology, not tax policy, that is a driving force behind tax regulation in several areas (Cockfield, 2002). This has been recognized at the OECD level in the preparation of the BEPS initiative (OECD, 2015). In addition, advanced digitalization also poses challenges in terms of indirect taxation, especially in cases where consumers acquire goods and services from third countries, due to the lack of an international framework of value added tax rules for the collection of VAT in the country where consumption takes place (OECD, 2015).</w:t>
      </w:r>
    </w:p>
    <w:p w14:paraId="713BE38F" w14:textId="77777777" w:rsidR="004E0A51" w:rsidRPr="004E0A51" w:rsidRDefault="004E0A51" w:rsidP="004E0A51">
      <w:pPr>
        <w:pStyle w:val="Text"/>
        <w:spacing w:before="60" w:after="60"/>
        <w:ind w:firstLine="187"/>
        <w:rPr>
          <w:rFonts w:ascii="Gulliver-Regular" w:hAnsi="Gulliver-Regular"/>
        </w:rPr>
      </w:pPr>
      <w:r w:rsidRPr="004E0A51">
        <w:rPr>
          <w:rFonts w:ascii="Gulliver-Regular" w:hAnsi="Gulliver-Regular"/>
          <w:lang w:val="en-GB"/>
        </w:rPr>
        <w:t xml:space="preserve">Thanks to the constantly adopted measures, the positive trend of reducing the VAT gap is prevailing in all the CEE countries. Nevertheless, we are concerned that this trend will be disrupted by the Covid-19 pandemic and that the VAT gap can be expected to widen again due to a higher proportion of the </w:t>
      </w:r>
      <w:proofErr w:type="spellStart"/>
      <w:r w:rsidRPr="004E0A51">
        <w:rPr>
          <w:rFonts w:ascii="Gulliver-Regular" w:hAnsi="Gulliver-Regular"/>
          <w:lang w:val="en-GB"/>
        </w:rPr>
        <w:t>gray</w:t>
      </w:r>
      <w:proofErr w:type="spellEnd"/>
      <w:r w:rsidRPr="004E0A51">
        <w:rPr>
          <w:rFonts w:ascii="Gulliver-Regular" w:hAnsi="Gulliver-Regular"/>
          <w:lang w:val="en-GB"/>
        </w:rPr>
        <w:t xml:space="preserve"> economy and companies´ liquidity problems </w:t>
      </w:r>
      <w:proofErr w:type="gramStart"/>
      <w:r w:rsidRPr="004E0A51">
        <w:rPr>
          <w:rFonts w:ascii="Gulliver-Regular" w:hAnsi="Gulliver-Regular"/>
          <w:lang w:val="en-GB"/>
        </w:rPr>
        <w:t>as a consequence of</w:t>
      </w:r>
      <w:proofErr w:type="gramEnd"/>
      <w:r w:rsidRPr="004E0A51">
        <w:rPr>
          <w:rFonts w:ascii="Gulliver-Regular" w:hAnsi="Gulliver-Regular"/>
          <w:lang w:val="en-GB"/>
        </w:rPr>
        <w:t xml:space="preserve"> constraints and overdue receivables. An example can be the data on VAT arrears, published by the Polish government: in 2019 it was EUR 20.8 billion, while in 2020 EUR 21.1 billion </w:t>
      </w:r>
      <w:r w:rsidRPr="004E0A51">
        <w:rPr>
          <w:rFonts w:ascii="Gulliver-Regular" w:hAnsi="Gulliver-Regular"/>
        </w:rPr>
        <w:t>(</w:t>
      </w:r>
      <w:proofErr w:type="spellStart"/>
      <w:r w:rsidRPr="004E0A51">
        <w:rPr>
          <w:rFonts w:ascii="Gulliver-Regular" w:hAnsi="Gulliver-Regular"/>
        </w:rPr>
        <w:t>Szewczyk</w:t>
      </w:r>
      <w:proofErr w:type="spellEnd"/>
      <w:r w:rsidRPr="004E0A51">
        <w:rPr>
          <w:rFonts w:ascii="Gulliver-Regular" w:hAnsi="Gulliver-Regular"/>
        </w:rPr>
        <w:t>, 2021).</w:t>
      </w:r>
    </w:p>
    <w:p w14:paraId="2195CFA6" w14:textId="77777777" w:rsidR="004E0A51" w:rsidRPr="004E0A51" w:rsidRDefault="004E0A51" w:rsidP="004E0A51">
      <w:pPr>
        <w:spacing w:before="60" w:after="60"/>
        <w:ind w:firstLine="187"/>
        <w:rPr>
          <w:rFonts w:ascii="Gulliver-Regular" w:hAnsi="Gulliver-Regular"/>
          <w:sz w:val="20"/>
          <w:lang w:val="en-GB"/>
        </w:rPr>
      </w:pPr>
      <w:r w:rsidRPr="004E0A51">
        <w:rPr>
          <w:rFonts w:ascii="Gulliver-Regular" w:hAnsi="Gulliver-Regular"/>
          <w:sz w:val="20"/>
        </w:rPr>
        <w:t xml:space="preserve">However, notwithstanding the above, it can be stated that the quality of governance is related to the VAT gap in general, but the significance of the impact of individual </w:t>
      </w:r>
      <w:proofErr w:type="spellStart"/>
      <w:r w:rsidRPr="004E0A51">
        <w:rPr>
          <w:rFonts w:ascii="Gulliver-Regular" w:hAnsi="Gulliver-Regular"/>
          <w:sz w:val="20"/>
        </w:rPr>
        <w:t>WGIs</w:t>
      </w:r>
      <w:proofErr w:type="spellEnd"/>
      <w:r w:rsidRPr="004E0A51">
        <w:rPr>
          <w:rFonts w:ascii="Gulliver-Regular" w:hAnsi="Gulliver-Regular"/>
          <w:sz w:val="20"/>
        </w:rPr>
        <w:t xml:space="preserve"> in most cases cannot be demonstrated due to collinearity. Still, the results can encourage the countries to determine the factors influencing the VAT gap negatively and improve the quality of governance and political factors, mostly with a focus on anti-corruption measures (see the Czech Republic, Estonia, Latvia, Lithuania, and Romania). This means that governments need to focus on creating a sustainable environment resistant to corruption and increasing public authorities’ credibility, particularly courts, prosecutors´ offices and the police, not only by criminal law but also by non-criminal preventive measures (for instance, by demonstrating the origin of the property while ensuring the efficiency of this type of measure by resolving the holder of the burden of proof). Other </w:t>
      </w:r>
      <w:proofErr w:type="spellStart"/>
      <w:r w:rsidRPr="004E0A51">
        <w:rPr>
          <w:rFonts w:ascii="Gulliver-Regular" w:hAnsi="Gulliver-Regular"/>
          <w:sz w:val="20"/>
        </w:rPr>
        <w:t>institutiond</w:t>
      </w:r>
      <w:proofErr w:type="spellEnd"/>
      <w:r w:rsidRPr="004E0A51">
        <w:rPr>
          <w:rFonts w:ascii="Gulliver-Regular" w:hAnsi="Gulliver-Regular"/>
          <w:sz w:val="20"/>
        </w:rPr>
        <w:t xml:space="preserve"> are also needed to solve the tax avoidance issues, mostly in the field of control mechanisms and criminal law rules, e.g., e-Government (</w:t>
      </w:r>
      <w:proofErr w:type="spellStart"/>
      <w:r w:rsidRPr="004E0A51">
        <w:rPr>
          <w:rFonts w:ascii="Gulliver-Regular" w:hAnsi="Gulliver-Regular"/>
          <w:sz w:val="20"/>
        </w:rPr>
        <w:t>Románová</w:t>
      </w:r>
      <w:proofErr w:type="spellEnd"/>
      <w:r w:rsidRPr="004E0A51">
        <w:rPr>
          <w:rFonts w:ascii="Gulliver-Regular" w:hAnsi="Gulliver-Regular"/>
          <w:sz w:val="20"/>
        </w:rPr>
        <w:t xml:space="preserve"> &amp; </w:t>
      </w:r>
      <w:proofErr w:type="spellStart"/>
      <w:r w:rsidRPr="004E0A51">
        <w:rPr>
          <w:rFonts w:ascii="Cambria" w:hAnsi="Cambria" w:cs="Cambria"/>
          <w:sz w:val="20"/>
        </w:rPr>
        <w:t>Č</w:t>
      </w:r>
      <w:r w:rsidRPr="004E0A51">
        <w:rPr>
          <w:rFonts w:ascii="Gulliver-Regular" w:hAnsi="Gulliver-Regular"/>
          <w:sz w:val="20"/>
        </w:rPr>
        <w:t>erven</w:t>
      </w:r>
      <w:r w:rsidRPr="004E0A51">
        <w:rPr>
          <w:rFonts w:ascii="Gulliver-Regular" w:hAnsi="Gulliver-Regular" w:cs="Gulliver-Regular"/>
          <w:sz w:val="20"/>
        </w:rPr>
        <w:t>á</w:t>
      </w:r>
      <w:proofErr w:type="spellEnd"/>
      <w:r w:rsidRPr="004E0A51">
        <w:rPr>
          <w:rFonts w:ascii="Gulliver-Regular" w:hAnsi="Gulliver-Regular"/>
          <w:sz w:val="20"/>
        </w:rPr>
        <w:t xml:space="preserve">, 2017), online cash-registers e. g., in Slovakia, the Czech Republic, e-invoices and other institutes (see </w:t>
      </w:r>
      <w:proofErr w:type="spellStart"/>
      <w:r w:rsidRPr="004E0A51">
        <w:rPr>
          <w:rFonts w:ascii="Gulliver-Regular" w:hAnsi="Gulliver-Regular"/>
          <w:sz w:val="20"/>
        </w:rPr>
        <w:t>Štrkolec</w:t>
      </w:r>
      <w:proofErr w:type="spellEnd"/>
      <w:r w:rsidRPr="004E0A51">
        <w:rPr>
          <w:rFonts w:ascii="Gulliver-Regular" w:hAnsi="Gulliver-Regular"/>
          <w:sz w:val="20"/>
        </w:rPr>
        <w:t xml:space="preserve">, 2017), or repressive measures in economic crime and the improvement of compliance risk management of tax administration in the selected countries.  Also, the measures for the new phenomena such as taxation of the sharing economy or virtual currency issues should be applied. </w:t>
      </w:r>
      <w:r w:rsidRPr="004E0A51">
        <w:rPr>
          <w:rFonts w:ascii="Gulliver-Regular" w:hAnsi="Gulliver-Regular" w:cs="Arial"/>
          <w:sz w:val="20"/>
          <w:lang w:val="en-GB"/>
        </w:rPr>
        <w:t xml:space="preserve">New business models (Li, 2018) based on advanced digitalization have also conditioned a fundamental shift in the view of the issue of taxation and tax evasion from the international point of view. The primary opinion </w:t>
      </w:r>
      <w:r w:rsidRPr="004E0A51">
        <w:rPr>
          <w:rFonts w:ascii="Gulliver-Regular" w:hAnsi="Gulliver-Regular"/>
          <w:sz w:val="20"/>
          <w:lang w:val="en-GB"/>
        </w:rPr>
        <w:t xml:space="preserve">expressed at the OECD Forum (1999) that no fundamental change is required compared to existing rules has been replaced by the idea that source country rules are not sufficient to meet the current requirements of the digital economy. Regardless of the level of change that the development of new technologies will bring in the future, </w:t>
      </w:r>
      <w:proofErr w:type="gramStart"/>
      <w:r w:rsidRPr="004E0A51">
        <w:rPr>
          <w:rFonts w:ascii="Gulliver-Regular" w:hAnsi="Gulliver-Regular"/>
          <w:sz w:val="20"/>
          <w:lang w:val="en-GB"/>
        </w:rPr>
        <w:t>it is clear that technological</w:t>
      </w:r>
      <w:proofErr w:type="gramEnd"/>
      <w:r w:rsidRPr="004E0A51">
        <w:rPr>
          <w:rFonts w:ascii="Gulliver-Regular" w:hAnsi="Gulliver-Regular"/>
          <w:sz w:val="20"/>
          <w:lang w:val="en-GB"/>
        </w:rPr>
        <w:t xml:space="preserve"> developments will have a major impact on the framework of tax systems, tax relationships and the system of authorities providing tax administration (</w:t>
      </w:r>
      <w:proofErr w:type="spellStart"/>
      <w:r w:rsidRPr="004E0A51">
        <w:rPr>
          <w:rFonts w:ascii="Gulliver-Regular" w:hAnsi="Gulliver-Regular"/>
          <w:sz w:val="20"/>
          <w:lang w:val="en-GB"/>
        </w:rPr>
        <w:t>Bab</w:t>
      </w:r>
      <w:r w:rsidRPr="004E0A51">
        <w:rPr>
          <w:rFonts w:ascii="Cambria" w:hAnsi="Cambria" w:cs="Cambria"/>
          <w:sz w:val="20"/>
          <w:lang w:val="en-GB"/>
        </w:rPr>
        <w:t>č</w:t>
      </w:r>
      <w:r w:rsidRPr="004E0A51">
        <w:rPr>
          <w:rFonts w:ascii="Gulliver-Regular" w:hAnsi="Gulliver-Regular" w:cs="Gulliver-Regular"/>
          <w:sz w:val="20"/>
          <w:lang w:val="en-GB"/>
        </w:rPr>
        <w:t>á</w:t>
      </w:r>
      <w:r w:rsidRPr="004E0A51">
        <w:rPr>
          <w:rFonts w:ascii="Gulliver-Regular" w:hAnsi="Gulliver-Regular"/>
          <w:sz w:val="20"/>
          <w:lang w:val="en-GB"/>
        </w:rPr>
        <w:t>k</w:t>
      </w:r>
      <w:proofErr w:type="spellEnd"/>
      <w:r w:rsidRPr="004E0A51">
        <w:rPr>
          <w:rFonts w:ascii="Gulliver-Regular" w:hAnsi="Gulliver-Regular"/>
          <w:sz w:val="20"/>
          <w:lang w:val="en-GB"/>
        </w:rPr>
        <w:t xml:space="preserve">, 2019). The possible range of changes is wide: from the introduction of some new types of taxes that will organically complement "traditional" forms of taxation (income tax, general consumption tax) to the complete "restructuring" of tax systems based on priority taxation by new forms of "digital taxes". </w:t>
      </w:r>
    </w:p>
    <w:p w14:paraId="0B4BDFF6" w14:textId="77777777" w:rsidR="004E0A51" w:rsidRPr="004E0A51" w:rsidRDefault="004E0A51" w:rsidP="004E0A51">
      <w:pPr>
        <w:pStyle w:val="Text"/>
        <w:spacing w:before="60" w:after="60"/>
        <w:ind w:firstLine="187"/>
        <w:rPr>
          <w:rFonts w:ascii="Gulliver-Regular" w:hAnsi="Gulliver-Regular"/>
        </w:rPr>
      </w:pPr>
      <w:r w:rsidRPr="004E0A51">
        <w:rPr>
          <w:rFonts w:ascii="Gulliver-Regular" w:hAnsi="Gulliver-Regular"/>
        </w:rPr>
        <w:t xml:space="preserve">Therefore, </w:t>
      </w:r>
      <w:proofErr w:type="gramStart"/>
      <w:r w:rsidRPr="004E0A51">
        <w:rPr>
          <w:rFonts w:ascii="Gulliver-Regular" w:hAnsi="Gulliver-Regular"/>
        </w:rPr>
        <w:t>repressive</w:t>
      </w:r>
      <w:proofErr w:type="gramEnd"/>
      <w:r w:rsidRPr="004E0A51">
        <w:rPr>
          <w:rFonts w:ascii="Gulliver-Regular" w:hAnsi="Gulliver-Regular"/>
        </w:rPr>
        <w:t xml:space="preserve"> and preventive state measures to collect taxes and eliminate tax evasion and fraud should be considered (see also </w:t>
      </w:r>
      <w:proofErr w:type="spellStart"/>
      <w:r w:rsidRPr="004E0A51">
        <w:rPr>
          <w:rFonts w:ascii="Gulliver-Regular" w:hAnsi="Gulliver-Regular"/>
        </w:rPr>
        <w:t>Schultzová</w:t>
      </w:r>
      <w:proofErr w:type="spellEnd"/>
      <w:r w:rsidRPr="004E0A51">
        <w:rPr>
          <w:rFonts w:ascii="Gulliver-Regular" w:hAnsi="Gulliver-Regular"/>
        </w:rPr>
        <w:t>, 2020).</w:t>
      </w:r>
    </w:p>
    <w:p w14:paraId="78DB8CDF" w14:textId="77777777" w:rsidR="004E0A51" w:rsidRPr="004E0A51" w:rsidRDefault="004E0A51" w:rsidP="004E0A51">
      <w:pPr>
        <w:pStyle w:val="Text"/>
        <w:spacing w:before="60" w:after="60"/>
        <w:rPr>
          <w:rFonts w:ascii="Gulliver-Regular" w:hAnsi="Gulliver-Regular"/>
        </w:rPr>
      </w:pPr>
    </w:p>
    <w:p w14:paraId="4CF5A1B6" w14:textId="77777777" w:rsidR="004E0A51" w:rsidRPr="004E0A51" w:rsidRDefault="004E0A51" w:rsidP="004E0A51">
      <w:pPr>
        <w:pStyle w:val="Text"/>
        <w:spacing w:before="60" w:after="60"/>
        <w:jc w:val="center"/>
        <w:rPr>
          <w:rFonts w:ascii="Gulliver-Regular" w:hAnsi="Gulliver-Regular"/>
          <w:bCs/>
          <w:i/>
          <w:iCs/>
        </w:rPr>
      </w:pPr>
      <w:r w:rsidRPr="004E0A51">
        <w:rPr>
          <w:rFonts w:ascii="Gulliver-Regular" w:hAnsi="Gulliver-Regular"/>
          <w:b/>
          <w:caps/>
        </w:rPr>
        <w:t>ACKNOWLEDGEMENT</w:t>
      </w:r>
    </w:p>
    <w:p w14:paraId="06499BD6" w14:textId="77777777" w:rsidR="004E0A51" w:rsidRPr="004E0A51" w:rsidRDefault="004E0A51" w:rsidP="004E0A51">
      <w:pPr>
        <w:pStyle w:val="Text"/>
        <w:spacing w:beforeLines="60" w:before="144" w:afterLines="60" w:after="144"/>
        <w:ind w:firstLine="187"/>
        <w:rPr>
          <w:rFonts w:ascii="Gulliver-Regular" w:hAnsi="Gulliver-Regular"/>
        </w:rPr>
      </w:pPr>
      <w:r w:rsidRPr="004E0A51">
        <w:rPr>
          <w:rFonts w:ascii="Gulliver-Regular" w:hAnsi="Gulliver-Regular"/>
          <w:noProof/>
        </w:rPr>
        <w:t>This work was supported by the Slovak Research and Development Agency under the contract  No. APVV-19-0124.</w:t>
      </w:r>
    </w:p>
    <w:p w14:paraId="3DE9C8C7" w14:textId="77777777" w:rsidR="004E0A51" w:rsidRPr="004E0A51" w:rsidRDefault="004E0A51" w:rsidP="00531FA1">
      <w:pPr>
        <w:widowControl/>
        <w:spacing w:before="60" w:after="60"/>
        <w:ind w:firstLine="180"/>
        <w:rPr>
          <w:rFonts w:ascii="Gulliver-Regular" w:eastAsia="Calibri" w:hAnsi="Gulliver-Regular"/>
          <w:b/>
          <w:bCs/>
          <w:snapToGrid/>
          <w:color w:val="000000"/>
          <w:sz w:val="20"/>
          <w:lang w:eastAsia="en-US"/>
        </w:rPr>
      </w:pPr>
    </w:p>
    <w:p w14:paraId="6BEE0A1F" w14:textId="77777777" w:rsidR="009E13A8" w:rsidRPr="004E0A51" w:rsidRDefault="009E13A8" w:rsidP="00B07D35">
      <w:pPr>
        <w:pStyle w:val="Text"/>
        <w:spacing w:before="60" w:after="60"/>
        <w:jc w:val="center"/>
        <w:rPr>
          <w:rFonts w:ascii="Gulliver-Regular" w:hAnsi="Gulliver-Regular"/>
          <w:b/>
          <w:caps/>
          <w:lang w:val="en-GB"/>
        </w:rPr>
      </w:pPr>
      <w:r w:rsidRPr="004E0A51">
        <w:rPr>
          <w:rFonts w:ascii="Gulliver-Regular" w:hAnsi="Gulliver-Regular"/>
          <w:b/>
          <w:caps/>
          <w:lang w:val="en-GB"/>
        </w:rPr>
        <w:t>References</w:t>
      </w:r>
    </w:p>
    <w:p w14:paraId="79E06D23"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Alm</w:t>
      </w:r>
      <w:proofErr w:type="spellEnd"/>
      <w:r w:rsidRPr="004E0A51">
        <w:rPr>
          <w:rFonts w:ascii="Gulliver-Regular" w:hAnsi="Gulliver-Regular"/>
          <w:caps/>
          <w:color w:val="000000" w:themeColor="text1"/>
          <w:sz w:val="20"/>
          <w:lang w:val="en-GB"/>
        </w:rPr>
        <w:t xml:space="preserve">, J., &amp; </w:t>
      </w:r>
      <w:proofErr w:type="spellStart"/>
      <w:r w:rsidRPr="004E0A51">
        <w:rPr>
          <w:rFonts w:ascii="Gulliver-Regular" w:hAnsi="Gulliver-Regular"/>
          <w:color w:val="000000" w:themeColor="text1"/>
          <w:sz w:val="20"/>
          <w:lang w:val="en-GB"/>
        </w:rPr>
        <w:t>Torgler</w:t>
      </w:r>
      <w:proofErr w:type="spellEnd"/>
      <w:r w:rsidRPr="004E0A51">
        <w:rPr>
          <w:rFonts w:ascii="Gulliver-Regular" w:hAnsi="Gulliver-Regular"/>
          <w:color w:val="000000" w:themeColor="text1"/>
          <w:sz w:val="20"/>
          <w:lang w:val="en-GB"/>
        </w:rPr>
        <w:t xml:space="preserve">, B. (2006). Culture Differences and Tax Morale in the United States and in Europe. </w:t>
      </w:r>
      <w:r w:rsidRPr="004E0A51">
        <w:rPr>
          <w:rFonts w:ascii="Gulliver-Regular" w:hAnsi="Gulliver-Regular"/>
          <w:i/>
          <w:color w:val="000000" w:themeColor="text1"/>
          <w:sz w:val="20"/>
          <w:lang w:val="en-GB"/>
        </w:rPr>
        <w:t>Journal of Economic Psychology</w:t>
      </w:r>
      <w:r w:rsidRPr="004E0A51">
        <w:rPr>
          <w:rFonts w:ascii="Gulliver-Regular" w:hAnsi="Gulliver-Regular"/>
          <w:iCs/>
          <w:color w:val="000000" w:themeColor="text1"/>
          <w:sz w:val="20"/>
          <w:lang w:val="en-GB"/>
        </w:rPr>
        <w:t>,</w:t>
      </w:r>
      <w:r w:rsidRPr="004E0A51">
        <w:rPr>
          <w:rFonts w:ascii="Gulliver-Regular" w:hAnsi="Gulliver-Regular"/>
          <w:color w:val="000000" w:themeColor="text1"/>
          <w:sz w:val="20"/>
          <w:lang w:val="en-GB"/>
        </w:rPr>
        <w:t xml:space="preserve"> </w:t>
      </w:r>
      <w:r w:rsidRPr="004E0A51">
        <w:rPr>
          <w:rFonts w:ascii="Gulliver-Regular" w:hAnsi="Gulliver-Regular"/>
          <w:i/>
          <w:iCs/>
          <w:color w:val="000000" w:themeColor="text1"/>
          <w:sz w:val="20"/>
          <w:lang w:val="en-GB"/>
        </w:rPr>
        <w:t>27</w:t>
      </w:r>
      <w:r w:rsidRPr="004E0A51">
        <w:rPr>
          <w:rFonts w:ascii="Gulliver-Regular" w:hAnsi="Gulliver-Regular"/>
          <w:iCs/>
          <w:color w:val="000000" w:themeColor="text1"/>
          <w:sz w:val="20"/>
          <w:lang w:val="en-GB"/>
        </w:rPr>
        <w:t>(2)</w:t>
      </w:r>
      <w:r w:rsidRPr="004E0A51">
        <w:rPr>
          <w:rFonts w:ascii="Gulliver-Regular" w:hAnsi="Gulliver-Regular"/>
          <w:color w:val="000000" w:themeColor="text1"/>
          <w:sz w:val="20"/>
          <w:lang w:val="en-GB"/>
        </w:rPr>
        <w:t xml:space="preserve">, 224–246. </w:t>
      </w:r>
      <w:hyperlink r:id="rId15" w:tgtFrame="_blank" w:tooltip="Persistent link using digital object identifier" w:history="1">
        <w:r w:rsidRPr="004E0A51">
          <w:rPr>
            <w:rStyle w:val="Hyperlink"/>
            <w:rFonts w:ascii="Gulliver-Regular" w:hAnsi="Gulliver-Regular"/>
            <w:color w:val="000000" w:themeColor="text1"/>
            <w:sz w:val="20"/>
            <w:u w:val="none"/>
            <w:lang w:val="en-GB"/>
          </w:rPr>
          <w:t>https://doi.org/10.1016/j.joep.2005.09.002</w:t>
        </w:r>
      </w:hyperlink>
    </w:p>
    <w:p w14:paraId="31C7E2B5"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Awasthi, R., &amp; </w:t>
      </w:r>
      <w:proofErr w:type="spellStart"/>
      <w:r w:rsidRPr="004E0A51">
        <w:rPr>
          <w:rFonts w:ascii="Gulliver-Regular" w:hAnsi="Gulliver-Regular"/>
          <w:color w:val="000000" w:themeColor="text1"/>
          <w:sz w:val="20"/>
          <w:lang w:val="en-GB"/>
        </w:rPr>
        <w:t>Bayraktar</w:t>
      </w:r>
      <w:proofErr w:type="spellEnd"/>
      <w:r w:rsidRPr="004E0A51">
        <w:rPr>
          <w:rFonts w:ascii="Gulliver-Regular" w:hAnsi="Gulliver-Regular"/>
          <w:color w:val="000000" w:themeColor="text1"/>
          <w:sz w:val="20"/>
          <w:lang w:val="en-GB"/>
        </w:rPr>
        <w:t xml:space="preserve">, N. (2015). Can tax simplification help lower tax corruption? </w:t>
      </w:r>
      <w:r w:rsidRPr="004E0A51">
        <w:rPr>
          <w:rFonts w:ascii="Gulliver-Regular" w:hAnsi="Gulliver-Regular"/>
          <w:i/>
          <w:iCs/>
          <w:color w:val="000000" w:themeColor="text1"/>
          <w:sz w:val="20"/>
          <w:lang w:val="en-GB"/>
        </w:rPr>
        <w:t>Eurasian Economic Review</w:t>
      </w:r>
      <w:r w:rsidRPr="004E0A51">
        <w:rPr>
          <w:rFonts w:ascii="Gulliver-Regular" w:hAnsi="Gulliver-Regular"/>
          <w:color w:val="000000" w:themeColor="text1"/>
          <w:sz w:val="20"/>
          <w:lang w:val="en-GB"/>
        </w:rPr>
        <w:t xml:space="preserve">, (5), 297-330. </w:t>
      </w:r>
      <w:hyperlink r:id="rId16" w:history="1">
        <w:r w:rsidRPr="004E0A51">
          <w:rPr>
            <w:rStyle w:val="Hyperlink"/>
            <w:rFonts w:ascii="Gulliver-Regular" w:hAnsi="Gulliver-Regular"/>
            <w:color w:val="000000" w:themeColor="text1"/>
            <w:sz w:val="20"/>
            <w:u w:val="none"/>
            <w:shd w:val="clear" w:color="auto" w:fill="FCFCFC"/>
            <w:lang w:val="en-GB"/>
          </w:rPr>
          <w:t>https://doi.org/10.1007/s40822-015-0014-9</w:t>
        </w:r>
      </w:hyperlink>
    </w:p>
    <w:p w14:paraId="5C51117E" w14:textId="77777777" w:rsidR="004E0A51" w:rsidRPr="004E0A51" w:rsidRDefault="004E0A51" w:rsidP="004E0A51">
      <w:pPr>
        <w:pStyle w:val="Text"/>
        <w:spacing w:before="60" w:after="60"/>
        <w:ind w:left="360" w:hanging="360"/>
        <w:jc w:val="left"/>
        <w:rPr>
          <w:rFonts w:ascii="Gulliver-Regular" w:hAnsi="Gulliver-Regular"/>
          <w:color w:val="000000" w:themeColor="text1"/>
          <w:lang w:val="en-GB"/>
        </w:rPr>
      </w:pPr>
      <w:proofErr w:type="spellStart"/>
      <w:r w:rsidRPr="004E0A51">
        <w:rPr>
          <w:rFonts w:ascii="Gulliver-Regular" w:hAnsi="Gulliver-Regular"/>
          <w:color w:val="000000" w:themeColor="text1"/>
          <w:lang w:val="en-GB"/>
        </w:rPr>
        <w:t>Blanthorne</w:t>
      </w:r>
      <w:proofErr w:type="spellEnd"/>
      <w:r w:rsidRPr="004E0A51">
        <w:rPr>
          <w:rFonts w:ascii="Gulliver-Regular" w:hAnsi="Gulliver-Regular"/>
          <w:color w:val="000000" w:themeColor="text1"/>
          <w:lang w:val="en-GB"/>
        </w:rPr>
        <w:t xml:space="preserve">, C., &amp; Kaplan, S. (2008). An egocentric model of the relations among the opportunity to underreport, social norms, ethical believes and underreporting behaviour. </w:t>
      </w:r>
      <w:r w:rsidRPr="004E0A51">
        <w:rPr>
          <w:rFonts w:ascii="Gulliver-Regular" w:hAnsi="Gulliver-Regular"/>
          <w:i/>
          <w:iCs/>
          <w:color w:val="000000" w:themeColor="text1"/>
          <w:lang w:val="en-GB"/>
        </w:rPr>
        <w:t>Accounting, Organizations and Society,</w:t>
      </w:r>
      <w:r w:rsidRPr="004E0A51">
        <w:rPr>
          <w:rFonts w:ascii="Gulliver-Regular" w:hAnsi="Gulliver-Regular"/>
          <w:color w:val="000000" w:themeColor="text1"/>
          <w:lang w:val="en-GB"/>
        </w:rPr>
        <w:t xml:space="preserve"> </w:t>
      </w:r>
      <w:r w:rsidRPr="004E0A51">
        <w:rPr>
          <w:rFonts w:ascii="Gulliver-Regular" w:hAnsi="Gulliver-Regular"/>
          <w:i/>
          <w:iCs/>
          <w:color w:val="000000" w:themeColor="text1"/>
          <w:lang w:val="en-GB"/>
        </w:rPr>
        <w:t>33</w:t>
      </w:r>
      <w:r w:rsidRPr="004E0A51">
        <w:rPr>
          <w:rFonts w:ascii="Gulliver-Regular" w:hAnsi="Gulliver-Regular"/>
          <w:color w:val="000000" w:themeColor="text1"/>
          <w:lang w:val="en-GB"/>
        </w:rPr>
        <w:t>(7), 684-703. DOI: 10.1016/j.aos.2008.02.001</w:t>
      </w:r>
    </w:p>
    <w:p w14:paraId="2D190383" w14:textId="77777777" w:rsidR="004E0A51" w:rsidRPr="004E0A51" w:rsidRDefault="004E0A51" w:rsidP="004E0A51">
      <w:pPr>
        <w:pStyle w:val="Text"/>
        <w:spacing w:before="60" w:after="60"/>
        <w:ind w:left="360" w:hanging="360"/>
        <w:jc w:val="left"/>
        <w:rPr>
          <w:rFonts w:ascii="Gulliver-Regular" w:hAnsi="Gulliver-Regular"/>
          <w:noProof/>
          <w:color w:val="000000" w:themeColor="text1"/>
          <w:lang w:val="en-GB"/>
        </w:rPr>
      </w:pPr>
      <w:r w:rsidRPr="004E0A51">
        <w:rPr>
          <w:rFonts w:ascii="Gulliver-Regular" w:hAnsi="Gulliver-Regular"/>
          <w:noProof/>
          <w:color w:val="000000" w:themeColor="text1"/>
          <w:lang w:val="en-GB"/>
        </w:rPr>
        <w:t>Bab</w:t>
      </w:r>
      <w:r w:rsidRPr="004E0A51">
        <w:rPr>
          <w:rFonts w:ascii="Cambria" w:hAnsi="Cambria" w:cs="Cambria"/>
          <w:noProof/>
          <w:color w:val="000000" w:themeColor="text1"/>
          <w:lang w:val="en-GB"/>
        </w:rPr>
        <w:t>č</w:t>
      </w:r>
      <w:r w:rsidRPr="004E0A51">
        <w:rPr>
          <w:rFonts w:ascii="Gulliver-Regular" w:hAnsi="Gulliver-Regular" w:cs="Gulliver-Regular"/>
          <w:noProof/>
          <w:color w:val="000000" w:themeColor="text1"/>
          <w:lang w:val="en-GB"/>
        </w:rPr>
        <w:t>á</w:t>
      </w:r>
      <w:r w:rsidRPr="004E0A51">
        <w:rPr>
          <w:rFonts w:ascii="Gulliver-Regular" w:hAnsi="Gulliver-Regular"/>
          <w:noProof/>
          <w:color w:val="000000" w:themeColor="text1"/>
          <w:lang w:val="en-GB"/>
        </w:rPr>
        <w:t>k, V. (2017). Zneu</w:t>
      </w:r>
      <w:r w:rsidRPr="004E0A51">
        <w:rPr>
          <w:rFonts w:ascii="Gulliver-Regular" w:hAnsi="Gulliver-Regular" w:cs="Gulliver-Regular"/>
          <w:noProof/>
          <w:color w:val="000000" w:themeColor="text1"/>
          <w:lang w:val="en-GB"/>
        </w:rPr>
        <w:t>ží</w:t>
      </w:r>
      <w:r w:rsidRPr="004E0A51">
        <w:rPr>
          <w:rFonts w:ascii="Gulliver-Regular" w:hAnsi="Gulliver-Regular"/>
          <w:noProof/>
          <w:color w:val="000000" w:themeColor="text1"/>
          <w:lang w:val="en-GB"/>
        </w:rPr>
        <w:t>vanie da</w:t>
      </w:r>
      <w:r w:rsidRPr="004E0A51">
        <w:rPr>
          <w:rFonts w:ascii="Cambria" w:hAnsi="Cambria" w:cs="Cambria"/>
          <w:noProof/>
          <w:color w:val="000000" w:themeColor="text1"/>
          <w:lang w:val="en-GB"/>
        </w:rPr>
        <w:t>ň</w:t>
      </w:r>
      <w:r w:rsidRPr="004E0A51">
        <w:rPr>
          <w:rFonts w:ascii="Gulliver-Regular" w:hAnsi="Gulliver-Regular"/>
          <w:noProof/>
          <w:color w:val="000000" w:themeColor="text1"/>
          <w:lang w:val="en-GB"/>
        </w:rPr>
        <w:t>ov</w:t>
      </w:r>
      <w:r w:rsidRPr="004E0A51">
        <w:rPr>
          <w:rFonts w:ascii="Gulliver-Regular" w:hAnsi="Gulliver-Regular" w:cs="Gulliver-Regular"/>
          <w:noProof/>
          <w:color w:val="000000" w:themeColor="text1"/>
          <w:lang w:val="en-GB"/>
        </w:rPr>
        <w:t>é</w:t>
      </w:r>
      <w:r w:rsidRPr="004E0A51">
        <w:rPr>
          <w:rFonts w:ascii="Gulliver-Regular" w:hAnsi="Gulliver-Regular"/>
          <w:noProof/>
          <w:color w:val="000000" w:themeColor="text1"/>
          <w:lang w:val="en-GB"/>
        </w:rPr>
        <w:t>ho syst</w:t>
      </w:r>
      <w:r w:rsidRPr="004E0A51">
        <w:rPr>
          <w:rFonts w:ascii="Gulliver-Regular" w:hAnsi="Gulliver-Regular" w:cs="Gulliver-Regular"/>
          <w:noProof/>
          <w:color w:val="000000" w:themeColor="text1"/>
          <w:lang w:val="en-GB"/>
        </w:rPr>
        <w:t>é</w:t>
      </w:r>
      <w:r w:rsidRPr="004E0A51">
        <w:rPr>
          <w:rFonts w:ascii="Gulliver-Regular" w:hAnsi="Gulliver-Regular"/>
          <w:noProof/>
          <w:color w:val="000000" w:themeColor="text1"/>
          <w:lang w:val="en-GB"/>
        </w:rPr>
        <w:t>mu v</w:t>
      </w:r>
      <w:r w:rsidRPr="004E0A51">
        <w:rPr>
          <w:rFonts w:ascii="Gulliver-Regular" w:hAnsi="Gulliver-Regular" w:cs="Gulliver-Regular"/>
          <w:noProof/>
          <w:color w:val="000000" w:themeColor="text1"/>
          <w:lang w:val="en-GB"/>
        </w:rPr>
        <w:t> </w:t>
      </w:r>
      <w:r w:rsidRPr="004E0A51">
        <w:rPr>
          <w:rFonts w:ascii="Gulliver-Regular" w:hAnsi="Gulliver-Regular"/>
          <w:noProof/>
          <w:color w:val="000000" w:themeColor="text1"/>
          <w:lang w:val="en-GB"/>
        </w:rPr>
        <w:t>E</w:t>
      </w:r>
      <w:r w:rsidRPr="004E0A51">
        <w:rPr>
          <w:rFonts w:ascii="Gulliver-Regular" w:hAnsi="Gulliver-Regular" w:cs="Gulliver-Regular"/>
          <w:noProof/>
          <w:color w:val="000000" w:themeColor="text1"/>
          <w:lang w:val="en-GB"/>
        </w:rPr>
        <w:t>Ú</w:t>
      </w:r>
      <w:r w:rsidRPr="004E0A51">
        <w:rPr>
          <w:rFonts w:ascii="Gulliver-Regular" w:hAnsi="Gulliver-Regular"/>
          <w:noProof/>
          <w:color w:val="000000" w:themeColor="text1"/>
          <w:lang w:val="en-GB"/>
        </w:rPr>
        <w:t xml:space="preserve"> (Abuse of tax system in EU). In</w:t>
      </w:r>
      <w:r w:rsidRPr="004E0A51">
        <w:rPr>
          <w:rFonts w:ascii="Gulliver-Regular" w:hAnsi="Gulliver-Regular"/>
          <w:i/>
          <w:iCs/>
          <w:noProof/>
          <w:color w:val="000000" w:themeColor="text1"/>
          <w:lang w:val="en-GB"/>
        </w:rPr>
        <w:t xml:space="preserve"> Slovensko-</w:t>
      </w:r>
      <w:r w:rsidRPr="004E0A51">
        <w:rPr>
          <w:rFonts w:ascii="Cambria" w:hAnsi="Cambria" w:cs="Cambria"/>
          <w:i/>
          <w:iCs/>
          <w:noProof/>
          <w:color w:val="000000" w:themeColor="text1"/>
          <w:lang w:val="en-GB"/>
        </w:rPr>
        <w:t>č</w:t>
      </w:r>
      <w:r w:rsidRPr="004E0A51">
        <w:rPr>
          <w:rFonts w:ascii="Gulliver-Regular" w:hAnsi="Gulliver-Regular"/>
          <w:i/>
          <w:iCs/>
          <w:noProof/>
          <w:color w:val="000000" w:themeColor="text1"/>
          <w:lang w:val="en-GB"/>
        </w:rPr>
        <w:t>esk</w:t>
      </w:r>
      <w:r w:rsidRPr="004E0A51">
        <w:rPr>
          <w:rFonts w:ascii="Gulliver-Regular" w:hAnsi="Gulliver-Regular" w:cs="Gulliver-Regular"/>
          <w:i/>
          <w:iCs/>
          <w:noProof/>
          <w:color w:val="000000" w:themeColor="text1"/>
          <w:lang w:val="en-GB"/>
        </w:rPr>
        <w:t>é</w:t>
      </w:r>
      <w:r w:rsidRPr="004E0A51">
        <w:rPr>
          <w:rFonts w:ascii="Gulliver-Regular" w:hAnsi="Gulliver-Regular"/>
          <w:i/>
          <w:iCs/>
          <w:noProof/>
          <w:color w:val="000000" w:themeColor="text1"/>
          <w:lang w:val="en-GB"/>
        </w:rPr>
        <w:t xml:space="preserve"> dni da</w:t>
      </w:r>
      <w:r w:rsidRPr="004E0A51">
        <w:rPr>
          <w:rFonts w:ascii="Cambria" w:hAnsi="Cambria" w:cs="Cambria"/>
          <w:i/>
          <w:iCs/>
          <w:noProof/>
          <w:color w:val="000000" w:themeColor="text1"/>
          <w:lang w:val="en-GB"/>
        </w:rPr>
        <w:t>ň</w:t>
      </w:r>
      <w:r w:rsidRPr="004E0A51">
        <w:rPr>
          <w:rFonts w:ascii="Gulliver-Regular" w:hAnsi="Gulliver-Regular"/>
          <w:i/>
          <w:iCs/>
          <w:noProof/>
          <w:color w:val="000000" w:themeColor="text1"/>
          <w:lang w:val="en-GB"/>
        </w:rPr>
        <w:t>ov</w:t>
      </w:r>
      <w:r w:rsidRPr="004E0A51">
        <w:rPr>
          <w:rFonts w:ascii="Gulliver-Regular" w:hAnsi="Gulliver-Regular" w:cs="Gulliver-Regular"/>
          <w:i/>
          <w:iCs/>
          <w:noProof/>
          <w:color w:val="000000" w:themeColor="text1"/>
          <w:lang w:val="en-GB"/>
        </w:rPr>
        <w:t>é</w:t>
      </w:r>
      <w:r w:rsidRPr="004E0A51">
        <w:rPr>
          <w:rFonts w:ascii="Gulliver-Regular" w:hAnsi="Gulliver-Regular"/>
          <w:i/>
          <w:iCs/>
          <w:noProof/>
          <w:color w:val="000000" w:themeColor="text1"/>
          <w:lang w:val="en-GB"/>
        </w:rPr>
        <w:t>ho pr</w:t>
      </w:r>
      <w:r w:rsidRPr="004E0A51">
        <w:rPr>
          <w:rFonts w:ascii="Gulliver-Regular" w:hAnsi="Gulliver-Regular" w:cs="Gulliver-Regular"/>
          <w:i/>
          <w:iCs/>
          <w:noProof/>
          <w:color w:val="000000" w:themeColor="text1"/>
          <w:lang w:val="en-GB"/>
        </w:rPr>
        <w:t>á</w:t>
      </w:r>
      <w:r w:rsidRPr="004E0A51">
        <w:rPr>
          <w:rFonts w:ascii="Gulliver-Regular" w:hAnsi="Gulliver-Regular"/>
          <w:i/>
          <w:iCs/>
          <w:noProof/>
          <w:color w:val="000000" w:themeColor="text1"/>
          <w:lang w:val="en-GB"/>
        </w:rPr>
        <w:t>va : da</w:t>
      </w:r>
      <w:r w:rsidRPr="004E0A51">
        <w:rPr>
          <w:rFonts w:ascii="Cambria" w:hAnsi="Cambria" w:cs="Cambria"/>
          <w:i/>
          <w:iCs/>
          <w:noProof/>
          <w:color w:val="000000" w:themeColor="text1"/>
          <w:lang w:val="en-GB"/>
        </w:rPr>
        <w:t>ň</w:t>
      </w:r>
      <w:r w:rsidRPr="004E0A51">
        <w:rPr>
          <w:rFonts w:ascii="Gulliver-Regular" w:hAnsi="Gulliver-Regular"/>
          <w:i/>
          <w:iCs/>
          <w:noProof/>
          <w:color w:val="000000" w:themeColor="text1"/>
          <w:lang w:val="en-GB"/>
        </w:rPr>
        <w:t>ov</w:t>
      </w:r>
      <w:r w:rsidRPr="004E0A51">
        <w:rPr>
          <w:rFonts w:ascii="Gulliver-Regular" w:hAnsi="Gulliver-Regular" w:cs="Gulliver-Regular"/>
          <w:i/>
          <w:iCs/>
          <w:noProof/>
          <w:color w:val="000000" w:themeColor="text1"/>
          <w:lang w:val="en-GB"/>
        </w:rPr>
        <w:t>é</w:t>
      </w:r>
      <w:r w:rsidRPr="004E0A51">
        <w:rPr>
          <w:rFonts w:ascii="Gulliver-Regular" w:hAnsi="Gulliver-Regular"/>
          <w:i/>
          <w:iCs/>
          <w:noProof/>
          <w:color w:val="000000" w:themeColor="text1"/>
          <w:lang w:val="en-GB"/>
        </w:rPr>
        <w:t xml:space="preserve"> </w:t>
      </w:r>
      <w:r w:rsidRPr="004E0A51">
        <w:rPr>
          <w:rFonts w:ascii="Gulliver-Regular" w:hAnsi="Gulliver-Regular" w:cs="Gulliver-Regular"/>
          <w:i/>
          <w:iCs/>
          <w:noProof/>
          <w:color w:val="000000" w:themeColor="text1"/>
          <w:lang w:val="en-GB"/>
        </w:rPr>
        <w:t>ú</w:t>
      </w:r>
      <w:r w:rsidRPr="004E0A51">
        <w:rPr>
          <w:rFonts w:ascii="Gulliver-Regular" w:hAnsi="Gulliver-Regular"/>
          <w:i/>
          <w:iCs/>
          <w:noProof/>
          <w:color w:val="000000" w:themeColor="text1"/>
          <w:lang w:val="en-GB"/>
        </w:rPr>
        <w:t>niky a vyh</w:t>
      </w:r>
      <w:r w:rsidRPr="004E0A51">
        <w:rPr>
          <w:rFonts w:ascii="Gulliver-Regular" w:hAnsi="Gulliver-Regular" w:cs="Gulliver-Regular"/>
          <w:i/>
          <w:iCs/>
          <w:noProof/>
          <w:color w:val="000000" w:themeColor="text1"/>
          <w:lang w:val="en-GB"/>
        </w:rPr>
        <w:t>ý</w:t>
      </w:r>
      <w:r w:rsidRPr="004E0A51">
        <w:rPr>
          <w:rFonts w:ascii="Gulliver-Regular" w:hAnsi="Gulliver-Regular"/>
          <w:i/>
          <w:iCs/>
          <w:noProof/>
          <w:color w:val="000000" w:themeColor="text1"/>
          <w:lang w:val="en-GB"/>
        </w:rPr>
        <w:t>banie sa da</w:t>
      </w:r>
      <w:r w:rsidRPr="004E0A51">
        <w:rPr>
          <w:rFonts w:ascii="Cambria" w:hAnsi="Cambria" w:cs="Cambria"/>
          <w:i/>
          <w:iCs/>
          <w:noProof/>
          <w:color w:val="000000" w:themeColor="text1"/>
          <w:lang w:val="en-GB"/>
        </w:rPr>
        <w:t>ň</w:t>
      </w:r>
      <w:r w:rsidRPr="004E0A51">
        <w:rPr>
          <w:rFonts w:ascii="Gulliver-Regular" w:hAnsi="Gulliver-Regular"/>
          <w:i/>
          <w:iCs/>
          <w:noProof/>
          <w:color w:val="000000" w:themeColor="text1"/>
          <w:lang w:val="en-GB"/>
        </w:rPr>
        <w:t>ov</w:t>
      </w:r>
      <w:r w:rsidRPr="004E0A51">
        <w:rPr>
          <w:rFonts w:ascii="Gulliver-Regular" w:hAnsi="Gulliver-Regular" w:cs="Gulliver-Regular"/>
          <w:i/>
          <w:iCs/>
          <w:noProof/>
          <w:color w:val="000000" w:themeColor="text1"/>
          <w:lang w:val="en-GB"/>
        </w:rPr>
        <w:t>ý</w:t>
      </w:r>
      <w:r w:rsidRPr="004E0A51">
        <w:rPr>
          <w:rFonts w:ascii="Gulliver-Regular" w:hAnsi="Gulliver-Regular"/>
          <w:i/>
          <w:iCs/>
          <w:noProof/>
          <w:color w:val="000000" w:themeColor="text1"/>
          <w:lang w:val="en-GB"/>
        </w:rPr>
        <w:t>m povinnostiam. [Recenzovan</w:t>
      </w:r>
      <w:r w:rsidRPr="004E0A51">
        <w:rPr>
          <w:rFonts w:ascii="Gulliver-Regular" w:hAnsi="Gulliver-Regular" w:cs="Gulliver-Regular"/>
          <w:i/>
          <w:iCs/>
          <w:noProof/>
          <w:color w:val="000000" w:themeColor="text1"/>
          <w:lang w:val="en-GB"/>
        </w:rPr>
        <w:t>ý</w:t>
      </w:r>
      <w:r w:rsidRPr="004E0A51">
        <w:rPr>
          <w:rFonts w:ascii="Gulliver-Regular" w:hAnsi="Gulliver-Regular"/>
          <w:i/>
          <w:iCs/>
          <w:noProof/>
          <w:color w:val="000000" w:themeColor="text1"/>
          <w:lang w:val="en-GB"/>
        </w:rPr>
        <w:t xml:space="preserve"> zborn</w:t>
      </w:r>
      <w:r w:rsidRPr="004E0A51">
        <w:rPr>
          <w:rFonts w:ascii="Gulliver-Regular" w:hAnsi="Gulliver-Regular" w:cs="Gulliver-Regular"/>
          <w:i/>
          <w:iCs/>
          <w:noProof/>
          <w:color w:val="000000" w:themeColor="text1"/>
          <w:lang w:val="en-GB"/>
        </w:rPr>
        <w:t>í</w:t>
      </w:r>
      <w:r w:rsidRPr="004E0A51">
        <w:rPr>
          <w:rFonts w:ascii="Gulliver-Regular" w:hAnsi="Gulliver-Regular"/>
          <w:i/>
          <w:iCs/>
          <w:noProof/>
          <w:color w:val="000000" w:themeColor="text1"/>
          <w:lang w:val="en-GB"/>
        </w:rPr>
        <w:t>k vedeck</w:t>
      </w:r>
      <w:r w:rsidRPr="004E0A51">
        <w:rPr>
          <w:rFonts w:ascii="Gulliver-Regular" w:hAnsi="Gulliver-Regular" w:cs="Gulliver-Regular"/>
          <w:i/>
          <w:iCs/>
          <w:noProof/>
          <w:color w:val="000000" w:themeColor="text1"/>
          <w:lang w:val="en-GB"/>
        </w:rPr>
        <w:t>ý</w:t>
      </w:r>
      <w:r w:rsidRPr="004E0A51">
        <w:rPr>
          <w:rFonts w:ascii="Gulliver-Regular" w:hAnsi="Gulliver-Regular"/>
          <w:i/>
          <w:iCs/>
          <w:noProof/>
          <w:color w:val="000000" w:themeColor="text1"/>
          <w:lang w:val="en-GB"/>
        </w:rPr>
        <w:t>ch pr</w:t>
      </w:r>
      <w:r w:rsidRPr="004E0A51">
        <w:rPr>
          <w:rFonts w:ascii="Gulliver-Regular" w:hAnsi="Gulliver-Regular" w:cs="Gulliver-Regular"/>
          <w:i/>
          <w:iCs/>
          <w:noProof/>
          <w:color w:val="000000" w:themeColor="text1"/>
          <w:lang w:val="en-GB"/>
        </w:rPr>
        <w:t>á</w:t>
      </w:r>
      <w:r w:rsidRPr="004E0A51">
        <w:rPr>
          <w:rFonts w:ascii="Gulliver-Regular" w:hAnsi="Gulliver-Regular"/>
          <w:i/>
          <w:iCs/>
          <w:noProof/>
          <w:color w:val="000000" w:themeColor="text1"/>
          <w:lang w:val="en-GB"/>
        </w:rPr>
        <w:t xml:space="preserve">c.] </w:t>
      </w:r>
      <w:r w:rsidRPr="004E0A51">
        <w:rPr>
          <w:rFonts w:ascii="Gulliver-Regular" w:hAnsi="Gulliver-Regular"/>
          <w:noProof/>
          <w:color w:val="000000" w:themeColor="text1"/>
          <w:lang w:val="en-GB"/>
        </w:rPr>
        <w:t xml:space="preserve"> (pp. 9-52). </w:t>
      </w:r>
      <w:r w:rsidRPr="004E0A51">
        <w:rPr>
          <w:rFonts w:ascii="Gulliver-Regular" w:hAnsi="Gulliver-Regular"/>
          <w:iCs/>
          <w:noProof/>
          <w:color w:val="000000" w:themeColor="text1"/>
          <w:lang w:val="en-GB"/>
        </w:rPr>
        <w:t xml:space="preserve">Košice: </w:t>
      </w:r>
      <w:r w:rsidRPr="004E0A51">
        <w:rPr>
          <w:rFonts w:ascii="Gulliver-Regular" w:hAnsi="Gulliver-Regular"/>
          <w:noProof/>
          <w:color w:val="000000" w:themeColor="text1"/>
          <w:lang w:val="en-GB"/>
        </w:rPr>
        <w:t>Univerzita Pavla Jozefa Šafárika v Košiciach, Právnická fakulta.</w:t>
      </w:r>
    </w:p>
    <w:p w14:paraId="33A89248" w14:textId="77777777" w:rsidR="004E0A51" w:rsidRPr="004E0A51" w:rsidRDefault="004E0A51" w:rsidP="004E0A51">
      <w:pPr>
        <w:pStyle w:val="FootnoteText"/>
        <w:spacing w:before="60" w:after="60"/>
        <w:ind w:left="360" w:hanging="360"/>
        <w:rPr>
          <w:rFonts w:ascii="Gulliver-Regular" w:hAnsi="Gulliver-Regular" w:cs="Arial"/>
          <w:color w:val="000000" w:themeColor="text1"/>
        </w:rPr>
      </w:pPr>
      <w:proofErr w:type="spellStart"/>
      <w:r w:rsidRPr="004E0A51">
        <w:rPr>
          <w:rFonts w:ascii="Gulliver-Regular" w:hAnsi="Gulliver-Regular" w:cs="Arial"/>
          <w:color w:val="000000" w:themeColor="text1"/>
        </w:rPr>
        <w:t>Bab</w:t>
      </w:r>
      <w:r w:rsidRPr="004E0A51">
        <w:rPr>
          <w:rFonts w:ascii="Cambria" w:hAnsi="Cambria" w:cs="Cambria"/>
          <w:color w:val="000000" w:themeColor="text1"/>
        </w:rPr>
        <w:t>č</w:t>
      </w:r>
      <w:r w:rsidRPr="004E0A51">
        <w:rPr>
          <w:rFonts w:ascii="Gulliver-Regular" w:hAnsi="Gulliver-Regular" w:cs="Gulliver-Regular"/>
          <w:color w:val="000000" w:themeColor="text1"/>
        </w:rPr>
        <w:t>á</w:t>
      </w:r>
      <w:r w:rsidRPr="004E0A51">
        <w:rPr>
          <w:rFonts w:ascii="Gulliver-Regular" w:hAnsi="Gulliver-Regular" w:cs="Arial"/>
          <w:color w:val="000000" w:themeColor="text1"/>
        </w:rPr>
        <w:t>k</w:t>
      </w:r>
      <w:proofErr w:type="spellEnd"/>
      <w:r w:rsidRPr="004E0A51">
        <w:rPr>
          <w:rFonts w:ascii="Gulliver-Regular" w:hAnsi="Gulliver-Regular" w:cs="Arial"/>
          <w:color w:val="000000" w:themeColor="text1"/>
        </w:rPr>
        <w:t xml:space="preserve">, V. (2019). </w:t>
      </w:r>
      <w:proofErr w:type="spellStart"/>
      <w:r w:rsidRPr="004E0A51">
        <w:rPr>
          <w:rFonts w:ascii="Gulliver-Regular" w:hAnsi="Gulliver-Regular" w:cs="Arial"/>
          <w:i/>
          <w:iCs/>
          <w:color w:val="000000" w:themeColor="text1"/>
        </w:rPr>
        <w:t>Da</w:t>
      </w:r>
      <w:r w:rsidRPr="004E0A51">
        <w:rPr>
          <w:rFonts w:ascii="Cambria" w:hAnsi="Cambria" w:cs="Cambria"/>
          <w:i/>
          <w:iCs/>
          <w:color w:val="000000" w:themeColor="text1"/>
        </w:rPr>
        <w:t>ň</w:t>
      </w:r>
      <w:r w:rsidRPr="004E0A51">
        <w:rPr>
          <w:rFonts w:ascii="Gulliver-Regular" w:hAnsi="Gulliver-Regular" w:cs="Arial"/>
          <w:i/>
          <w:iCs/>
          <w:color w:val="000000" w:themeColor="text1"/>
        </w:rPr>
        <w:t>ov</w:t>
      </w:r>
      <w:r w:rsidRPr="004E0A51">
        <w:rPr>
          <w:rFonts w:ascii="Gulliver-Regular" w:hAnsi="Gulliver-Regular" w:cs="Gulliver-Regular"/>
          <w:i/>
          <w:iCs/>
          <w:color w:val="000000" w:themeColor="text1"/>
        </w:rPr>
        <w:t>é</w:t>
      </w:r>
      <w:proofErr w:type="spellEnd"/>
      <w:r w:rsidRPr="004E0A51">
        <w:rPr>
          <w:rFonts w:ascii="Gulliver-Regular" w:hAnsi="Gulliver-Regular" w:cs="Arial"/>
          <w:i/>
          <w:iCs/>
          <w:color w:val="000000" w:themeColor="text1"/>
        </w:rPr>
        <w:t xml:space="preserve"> </w:t>
      </w:r>
      <w:proofErr w:type="spellStart"/>
      <w:r w:rsidRPr="004E0A51">
        <w:rPr>
          <w:rFonts w:ascii="Gulliver-Regular" w:hAnsi="Gulliver-Regular" w:cs="Arial"/>
          <w:i/>
          <w:iCs/>
          <w:color w:val="000000" w:themeColor="text1"/>
        </w:rPr>
        <w:t>pr</w:t>
      </w:r>
      <w:r w:rsidRPr="004E0A51">
        <w:rPr>
          <w:rFonts w:ascii="Gulliver-Regular" w:hAnsi="Gulliver-Regular" w:cs="Gulliver-Regular"/>
          <w:i/>
          <w:iCs/>
          <w:color w:val="000000" w:themeColor="text1"/>
        </w:rPr>
        <w:t>á</w:t>
      </w:r>
      <w:r w:rsidRPr="004E0A51">
        <w:rPr>
          <w:rFonts w:ascii="Gulliver-Regular" w:hAnsi="Gulliver-Regular" w:cs="Arial"/>
          <w:i/>
          <w:iCs/>
          <w:color w:val="000000" w:themeColor="text1"/>
        </w:rPr>
        <w:t>vo</w:t>
      </w:r>
      <w:proofErr w:type="spellEnd"/>
      <w:r w:rsidRPr="004E0A51">
        <w:rPr>
          <w:rFonts w:ascii="Gulliver-Regular" w:hAnsi="Gulliver-Regular" w:cs="Arial"/>
          <w:i/>
          <w:iCs/>
          <w:color w:val="000000" w:themeColor="text1"/>
        </w:rPr>
        <w:t xml:space="preserve"> </w:t>
      </w:r>
      <w:proofErr w:type="spellStart"/>
      <w:r w:rsidRPr="004E0A51">
        <w:rPr>
          <w:rFonts w:ascii="Gulliver-Regular" w:hAnsi="Gulliver-Regular" w:cs="Arial"/>
          <w:i/>
          <w:iCs/>
          <w:color w:val="000000" w:themeColor="text1"/>
        </w:rPr>
        <w:t>na</w:t>
      </w:r>
      <w:proofErr w:type="spellEnd"/>
      <w:r w:rsidRPr="004E0A51">
        <w:rPr>
          <w:rFonts w:ascii="Gulliver-Regular" w:hAnsi="Gulliver-Regular" w:cs="Arial"/>
          <w:i/>
          <w:iCs/>
          <w:color w:val="000000" w:themeColor="text1"/>
        </w:rPr>
        <w:t xml:space="preserve"> </w:t>
      </w:r>
      <w:proofErr w:type="spellStart"/>
      <w:r w:rsidRPr="004E0A51">
        <w:rPr>
          <w:rFonts w:ascii="Gulliver-Regular" w:hAnsi="Gulliver-Regular" w:cs="Arial"/>
          <w:i/>
          <w:iCs/>
          <w:color w:val="000000" w:themeColor="text1"/>
        </w:rPr>
        <w:t>Slovensku</w:t>
      </w:r>
      <w:proofErr w:type="spellEnd"/>
      <w:r w:rsidRPr="004E0A51">
        <w:rPr>
          <w:rFonts w:ascii="Gulliver-Regular" w:hAnsi="Gulliver-Regular" w:cs="Arial"/>
          <w:i/>
          <w:iCs/>
          <w:color w:val="000000" w:themeColor="text1"/>
        </w:rPr>
        <w:t xml:space="preserve"> a</w:t>
      </w:r>
      <w:r w:rsidRPr="004E0A51">
        <w:rPr>
          <w:rFonts w:ascii="Gulliver-Regular" w:hAnsi="Gulliver-Regular" w:cs="Gulliver-Regular"/>
          <w:i/>
          <w:iCs/>
          <w:color w:val="000000" w:themeColor="text1"/>
        </w:rPr>
        <w:t> </w:t>
      </w:r>
      <w:r w:rsidRPr="004E0A51">
        <w:rPr>
          <w:rFonts w:ascii="Gulliver-Regular" w:hAnsi="Gulliver-Regular" w:cs="Arial"/>
          <w:i/>
          <w:iCs/>
          <w:color w:val="000000" w:themeColor="text1"/>
        </w:rPr>
        <w:t xml:space="preserve">v </w:t>
      </w:r>
      <w:proofErr w:type="spellStart"/>
      <w:r w:rsidRPr="004E0A51">
        <w:rPr>
          <w:rFonts w:ascii="Gulliver-Regular" w:hAnsi="Gulliver-Regular" w:cs="Arial"/>
          <w:i/>
          <w:iCs/>
          <w:color w:val="000000" w:themeColor="text1"/>
        </w:rPr>
        <w:t>E</w:t>
      </w:r>
      <w:r w:rsidRPr="004E0A51">
        <w:rPr>
          <w:rFonts w:ascii="Gulliver-Regular" w:hAnsi="Gulliver-Regular" w:cs="Gulliver-Regular"/>
          <w:i/>
          <w:iCs/>
          <w:color w:val="000000" w:themeColor="text1"/>
        </w:rPr>
        <w:t>Ú</w:t>
      </w:r>
      <w:proofErr w:type="spellEnd"/>
      <w:r w:rsidRPr="004E0A51">
        <w:rPr>
          <w:rFonts w:ascii="Gulliver-Regular" w:hAnsi="Gulliver-Regular" w:cs="Arial"/>
          <w:i/>
          <w:iCs/>
          <w:color w:val="000000" w:themeColor="text1"/>
        </w:rPr>
        <w:t>.</w:t>
      </w:r>
      <w:r w:rsidRPr="004E0A51">
        <w:rPr>
          <w:rFonts w:ascii="Gulliver-Regular" w:hAnsi="Gulliver-Regular" w:cs="Arial"/>
          <w:color w:val="000000" w:themeColor="text1"/>
        </w:rPr>
        <w:t xml:space="preserve"> Bratislava: EPOS. ISBN 978-80-562-0247-0. </w:t>
      </w:r>
    </w:p>
    <w:p w14:paraId="650097E4" w14:textId="77777777" w:rsidR="004E0A51" w:rsidRPr="004E0A51" w:rsidRDefault="004E0A51" w:rsidP="004E0A51">
      <w:pPr>
        <w:pStyle w:val="Text"/>
        <w:spacing w:before="60" w:after="60"/>
        <w:ind w:left="360" w:hanging="360"/>
        <w:jc w:val="left"/>
        <w:rPr>
          <w:rFonts w:ascii="Gulliver-Regular" w:hAnsi="Gulliver-Regular"/>
          <w:noProof/>
          <w:color w:val="000000" w:themeColor="text1"/>
          <w:lang w:val="en-GB"/>
        </w:rPr>
      </w:pPr>
      <w:proofErr w:type="spellStart"/>
      <w:r w:rsidRPr="004E0A51">
        <w:rPr>
          <w:rFonts w:ascii="Gulliver-Regular" w:hAnsi="Gulliver-Regular"/>
          <w:color w:val="000000" w:themeColor="text1"/>
          <w:lang w:val="en-GB"/>
        </w:rPr>
        <w:t>Cakoci</w:t>
      </w:r>
      <w:proofErr w:type="spellEnd"/>
      <w:r w:rsidRPr="004E0A51">
        <w:rPr>
          <w:rFonts w:ascii="Gulliver-Regular" w:hAnsi="Gulliver-Regular"/>
          <w:color w:val="000000" w:themeColor="text1"/>
          <w:lang w:val="en-GB"/>
        </w:rPr>
        <w:t xml:space="preserve">, K. (2019). </w:t>
      </w:r>
      <w:proofErr w:type="spellStart"/>
      <w:r w:rsidRPr="004E0A51">
        <w:rPr>
          <w:rFonts w:ascii="Gulliver-Regular" w:hAnsi="Gulliver-Regular"/>
          <w:color w:val="000000" w:themeColor="text1"/>
          <w:lang w:val="en-GB"/>
        </w:rPr>
        <w:t>Negatívne</w:t>
      </w:r>
      <w:proofErr w:type="spellEnd"/>
      <w:r w:rsidRPr="004E0A51">
        <w:rPr>
          <w:rFonts w:ascii="Gulliver-Regular" w:hAnsi="Gulliver-Regular"/>
          <w:color w:val="000000" w:themeColor="text1"/>
          <w:lang w:val="en-GB"/>
        </w:rPr>
        <w:t xml:space="preserve"> </w:t>
      </w:r>
      <w:proofErr w:type="spellStart"/>
      <w:r w:rsidRPr="004E0A51">
        <w:rPr>
          <w:rFonts w:ascii="Gulliver-Regular" w:hAnsi="Gulliver-Regular"/>
          <w:color w:val="000000" w:themeColor="text1"/>
          <w:lang w:val="en-GB"/>
        </w:rPr>
        <w:t>stimuly</w:t>
      </w:r>
      <w:proofErr w:type="spellEnd"/>
      <w:r w:rsidRPr="004E0A51">
        <w:rPr>
          <w:rFonts w:ascii="Gulliver-Regular" w:hAnsi="Gulliver-Regular"/>
          <w:color w:val="000000" w:themeColor="text1"/>
          <w:lang w:val="en-GB"/>
        </w:rPr>
        <w:t xml:space="preserve"> </w:t>
      </w:r>
      <w:proofErr w:type="spellStart"/>
      <w:r w:rsidRPr="004E0A51">
        <w:rPr>
          <w:rFonts w:ascii="Gulliver-Regular" w:hAnsi="Gulliver-Regular"/>
          <w:color w:val="000000" w:themeColor="text1"/>
          <w:lang w:val="en-GB"/>
        </w:rPr>
        <w:t>podnikania</w:t>
      </w:r>
      <w:proofErr w:type="spellEnd"/>
      <w:r w:rsidRPr="004E0A51">
        <w:rPr>
          <w:rFonts w:ascii="Gulliver-Regular" w:hAnsi="Gulliver-Regular"/>
          <w:color w:val="000000" w:themeColor="text1"/>
          <w:lang w:val="en-GB"/>
        </w:rPr>
        <w:t xml:space="preserve"> v SR = The negative incentives in entrepreneurship in Slovak Republic. In </w:t>
      </w:r>
      <w:proofErr w:type="spellStart"/>
      <w:r w:rsidRPr="004E0A51">
        <w:rPr>
          <w:rFonts w:ascii="Gulliver-Regular" w:hAnsi="Gulliver-Regular"/>
          <w:color w:val="000000" w:themeColor="text1"/>
          <w:lang w:val="en-GB"/>
        </w:rPr>
        <w:t>Bab</w:t>
      </w:r>
      <w:r w:rsidRPr="004E0A51">
        <w:rPr>
          <w:rFonts w:ascii="Cambria" w:hAnsi="Cambria" w:cs="Cambria"/>
          <w:color w:val="000000" w:themeColor="text1"/>
          <w:lang w:val="en-GB"/>
        </w:rPr>
        <w:t>č</w:t>
      </w:r>
      <w:r w:rsidRPr="004E0A51">
        <w:rPr>
          <w:rFonts w:ascii="Gulliver-Regular" w:hAnsi="Gulliver-Regular" w:cs="Gulliver-Regular"/>
          <w:color w:val="000000" w:themeColor="text1"/>
          <w:lang w:val="en-GB"/>
        </w:rPr>
        <w:t>á</w:t>
      </w:r>
      <w:r w:rsidRPr="004E0A51">
        <w:rPr>
          <w:rFonts w:ascii="Gulliver-Regular" w:hAnsi="Gulliver-Regular"/>
          <w:color w:val="000000" w:themeColor="text1"/>
          <w:lang w:val="en-GB"/>
        </w:rPr>
        <w:t>k</w:t>
      </w:r>
      <w:proofErr w:type="spellEnd"/>
      <w:r w:rsidRPr="004E0A51">
        <w:rPr>
          <w:rFonts w:ascii="Gulliver-Regular" w:hAnsi="Gulliver-Regular"/>
          <w:color w:val="000000" w:themeColor="text1"/>
          <w:lang w:val="en-GB"/>
        </w:rPr>
        <w:t xml:space="preserve">, V., </w:t>
      </w:r>
      <w:proofErr w:type="spellStart"/>
      <w:r w:rsidRPr="004E0A51">
        <w:rPr>
          <w:rFonts w:ascii="Gulliver-Regular" w:hAnsi="Gulliver-Regular"/>
          <w:color w:val="000000" w:themeColor="text1"/>
          <w:lang w:val="en-GB"/>
        </w:rPr>
        <w:t>Popovi</w:t>
      </w:r>
      <w:r w:rsidRPr="004E0A51">
        <w:rPr>
          <w:rFonts w:ascii="Cambria" w:hAnsi="Cambria" w:cs="Cambria"/>
          <w:color w:val="000000" w:themeColor="text1"/>
          <w:lang w:val="en-GB"/>
        </w:rPr>
        <w:t>č</w:t>
      </w:r>
      <w:proofErr w:type="spellEnd"/>
      <w:r w:rsidRPr="004E0A51">
        <w:rPr>
          <w:rFonts w:ascii="Gulliver-Regular" w:hAnsi="Gulliver-Regular"/>
          <w:color w:val="000000" w:themeColor="text1"/>
          <w:lang w:val="en-GB"/>
        </w:rPr>
        <w:t xml:space="preserve">, A., &amp; </w:t>
      </w:r>
      <w:proofErr w:type="spellStart"/>
      <w:r w:rsidRPr="004E0A51">
        <w:rPr>
          <w:rFonts w:ascii="Gulliver-Regular" w:hAnsi="Gulliver-Regular"/>
          <w:color w:val="000000" w:themeColor="text1"/>
          <w:lang w:val="en-GB"/>
        </w:rPr>
        <w:t>S</w:t>
      </w:r>
      <w:r w:rsidRPr="004E0A51">
        <w:rPr>
          <w:rFonts w:ascii="Gulliver-Regular" w:hAnsi="Gulliver-Regular" w:cs="Gulliver-Regular"/>
          <w:color w:val="000000" w:themeColor="text1"/>
          <w:lang w:val="en-GB"/>
        </w:rPr>
        <w:t>á</w:t>
      </w:r>
      <w:r w:rsidRPr="004E0A51">
        <w:rPr>
          <w:rFonts w:ascii="Gulliver-Regular" w:hAnsi="Gulliver-Regular"/>
          <w:color w:val="000000" w:themeColor="text1"/>
          <w:lang w:val="en-GB"/>
        </w:rPr>
        <w:t>bo</w:t>
      </w:r>
      <w:proofErr w:type="spellEnd"/>
      <w:r w:rsidRPr="004E0A51">
        <w:rPr>
          <w:rFonts w:ascii="Gulliver-Regular" w:hAnsi="Gulliver-Regular"/>
          <w:color w:val="000000" w:themeColor="text1"/>
          <w:lang w:val="en-GB"/>
        </w:rPr>
        <w:t xml:space="preserve">, J. (eds.) III. Slovak-Czech Days of Tax Law: Positive and Negative Stimulation of the State in the Area of Taxation (pp. 105-118). </w:t>
      </w:r>
      <w:proofErr w:type="spellStart"/>
      <w:r w:rsidRPr="004E0A51">
        <w:rPr>
          <w:rFonts w:ascii="Gulliver-Regular" w:hAnsi="Gulliver-Regular"/>
          <w:color w:val="000000" w:themeColor="text1"/>
          <w:lang w:val="en-GB"/>
        </w:rPr>
        <w:t>Ko</w:t>
      </w:r>
      <w:r w:rsidRPr="004E0A51">
        <w:rPr>
          <w:rFonts w:ascii="Gulliver-Regular" w:hAnsi="Gulliver-Regular" w:cs="Gulliver-Regular"/>
          <w:color w:val="000000" w:themeColor="text1"/>
          <w:lang w:val="en-GB"/>
        </w:rPr>
        <w:t>š</w:t>
      </w:r>
      <w:r w:rsidRPr="004E0A51">
        <w:rPr>
          <w:rFonts w:ascii="Gulliver-Regular" w:hAnsi="Gulliver-Regular"/>
          <w:color w:val="000000" w:themeColor="text1"/>
          <w:lang w:val="en-GB"/>
        </w:rPr>
        <w:t>ice</w:t>
      </w:r>
      <w:proofErr w:type="spellEnd"/>
      <w:r w:rsidRPr="004E0A51">
        <w:rPr>
          <w:rFonts w:ascii="Gulliver-Regular" w:hAnsi="Gulliver-Regular"/>
          <w:color w:val="000000" w:themeColor="text1"/>
          <w:lang w:val="en-GB"/>
        </w:rPr>
        <w:t xml:space="preserve">: </w:t>
      </w:r>
      <w:proofErr w:type="spellStart"/>
      <w:r w:rsidRPr="004E0A51">
        <w:rPr>
          <w:rFonts w:ascii="Gulliver-Regular" w:hAnsi="Gulliver-Regular"/>
          <w:color w:val="000000" w:themeColor="text1"/>
          <w:lang w:val="en-GB"/>
        </w:rPr>
        <w:t>Vydavate</w:t>
      </w:r>
      <w:r w:rsidRPr="004E0A51">
        <w:rPr>
          <w:rFonts w:ascii="Cambria" w:hAnsi="Cambria" w:cs="Cambria"/>
          <w:color w:val="000000" w:themeColor="text1"/>
          <w:lang w:val="en-GB"/>
        </w:rPr>
        <w:t>ľ</w:t>
      </w:r>
      <w:r w:rsidRPr="004E0A51">
        <w:rPr>
          <w:rFonts w:ascii="Gulliver-Regular" w:hAnsi="Gulliver-Regular"/>
          <w:color w:val="000000" w:themeColor="text1"/>
          <w:lang w:val="en-GB"/>
        </w:rPr>
        <w:t>stvo</w:t>
      </w:r>
      <w:proofErr w:type="spellEnd"/>
      <w:r w:rsidRPr="004E0A51">
        <w:rPr>
          <w:rFonts w:ascii="Gulliver-Regular" w:hAnsi="Gulliver-Regular"/>
          <w:color w:val="000000" w:themeColor="text1"/>
          <w:lang w:val="en-GB"/>
        </w:rPr>
        <w:t xml:space="preserve"> </w:t>
      </w:r>
      <w:proofErr w:type="spellStart"/>
      <w:r w:rsidRPr="004E0A51">
        <w:rPr>
          <w:rFonts w:ascii="Gulliver-Regular" w:hAnsi="Gulliver-Regular" w:cs="Gulliver-Regular"/>
          <w:color w:val="000000" w:themeColor="text1"/>
          <w:lang w:val="en-GB"/>
        </w:rPr>
        <w:t>Š</w:t>
      </w:r>
      <w:r w:rsidRPr="004E0A51">
        <w:rPr>
          <w:rFonts w:ascii="Gulliver-Regular" w:hAnsi="Gulliver-Regular"/>
          <w:color w:val="000000" w:themeColor="text1"/>
          <w:lang w:val="en-GB"/>
        </w:rPr>
        <w:t>af</w:t>
      </w:r>
      <w:r w:rsidRPr="004E0A51">
        <w:rPr>
          <w:rFonts w:ascii="Gulliver-Regular" w:hAnsi="Gulliver-Regular" w:cs="Gulliver-Regular"/>
          <w:color w:val="000000" w:themeColor="text1"/>
          <w:lang w:val="en-GB"/>
        </w:rPr>
        <w:t>á</w:t>
      </w:r>
      <w:r w:rsidRPr="004E0A51">
        <w:rPr>
          <w:rFonts w:ascii="Gulliver-Regular" w:hAnsi="Gulliver-Regular"/>
          <w:color w:val="000000" w:themeColor="text1"/>
          <w:lang w:val="en-GB"/>
        </w:rPr>
        <w:t>rikPress</w:t>
      </w:r>
      <w:proofErr w:type="spellEnd"/>
      <w:r w:rsidRPr="004E0A51">
        <w:rPr>
          <w:rFonts w:ascii="Gulliver-Regular" w:hAnsi="Gulliver-Regular"/>
          <w:color w:val="000000" w:themeColor="text1"/>
          <w:lang w:val="en-GB"/>
        </w:rPr>
        <w:t xml:space="preserve">. </w:t>
      </w:r>
    </w:p>
    <w:p w14:paraId="62CFE775" w14:textId="77777777" w:rsidR="004E0A51" w:rsidRPr="004E0A51" w:rsidRDefault="004E0A51" w:rsidP="004E0A51">
      <w:pPr>
        <w:pStyle w:val="Text"/>
        <w:spacing w:before="60" w:after="60"/>
        <w:ind w:left="360" w:hanging="360"/>
        <w:jc w:val="left"/>
        <w:rPr>
          <w:rFonts w:ascii="Gulliver-Regular" w:hAnsi="Gulliver-Regular"/>
          <w:iCs/>
          <w:color w:val="000000" w:themeColor="text1"/>
          <w:lang w:val="en-GB"/>
        </w:rPr>
      </w:pPr>
      <w:r w:rsidRPr="004E0A51">
        <w:rPr>
          <w:rFonts w:ascii="Gulliver-Regular" w:hAnsi="Gulliver-Regular"/>
          <w:iCs/>
          <w:color w:val="000000" w:themeColor="text1"/>
          <w:lang w:val="en-GB"/>
        </w:rPr>
        <w:t xml:space="preserve">CASE and </w:t>
      </w:r>
      <w:proofErr w:type="spellStart"/>
      <w:r w:rsidRPr="004E0A51">
        <w:rPr>
          <w:rFonts w:ascii="Gulliver-Regular" w:hAnsi="Gulliver-Regular"/>
          <w:iCs/>
          <w:color w:val="000000" w:themeColor="text1"/>
          <w:lang w:val="en-GB"/>
        </w:rPr>
        <w:t>CPB</w:t>
      </w:r>
      <w:proofErr w:type="spellEnd"/>
      <w:r w:rsidRPr="004E0A51">
        <w:rPr>
          <w:rFonts w:ascii="Gulliver-Regular" w:hAnsi="Gulliver-Regular"/>
          <w:iCs/>
          <w:color w:val="000000" w:themeColor="text1"/>
          <w:lang w:val="en-GB"/>
        </w:rPr>
        <w:t xml:space="preserve"> (2013). </w:t>
      </w:r>
      <w:r w:rsidRPr="004E0A51">
        <w:rPr>
          <w:rFonts w:ascii="Gulliver-Regular" w:hAnsi="Gulliver-Regular"/>
          <w:i/>
          <w:iCs/>
          <w:color w:val="000000" w:themeColor="text1"/>
          <w:lang w:val="en-GB"/>
        </w:rPr>
        <w:t xml:space="preserve">Study to quantify and analyse the VAT Gap in the EU-27 Member States Final Report. </w:t>
      </w:r>
      <w:proofErr w:type="spellStart"/>
      <w:r w:rsidRPr="004E0A51">
        <w:rPr>
          <w:rFonts w:ascii="Gulliver-Regular" w:hAnsi="Gulliver-Regular"/>
          <w:i/>
          <w:iCs/>
          <w:color w:val="000000" w:themeColor="text1"/>
          <w:lang w:val="en-GB"/>
        </w:rPr>
        <w:t>TAXUD</w:t>
      </w:r>
      <w:proofErr w:type="spellEnd"/>
      <w:r w:rsidRPr="004E0A51">
        <w:rPr>
          <w:rFonts w:ascii="Gulliver-Regular" w:hAnsi="Gulliver-Regular"/>
          <w:i/>
          <w:iCs/>
          <w:color w:val="000000" w:themeColor="text1"/>
          <w:lang w:val="en-GB"/>
        </w:rPr>
        <w:t xml:space="preserve">/2012/DE/316, </w:t>
      </w:r>
      <w:proofErr w:type="spellStart"/>
      <w:r w:rsidRPr="004E0A51">
        <w:rPr>
          <w:rFonts w:ascii="Gulliver-Regular" w:hAnsi="Gulliver-Regular"/>
          <w:i/>
          <w:iCs/>
          <w:color w:val="000000" w:themeColor="text1"/>
          <w:lang w:val="en-GB"/>
        </w:rPr>
        <w:t>FWC</w:t>
      </w:r>
      <w:proofErr w:type="spellEnd"/>
      <w:r w:rsidRPr="004E0A51">
        <w:rPr>
          <w:rFonts w:ascii="Gulliver-Regular" w:hAnsi="Gulliver-Regular"/>
          <w:i/>
          <w:iCs/>
          <w:color w:val="000000" w:themeColor="text1"/>
          <w:lang w:val="en-GB"/>
        </w:rPr>
        <w:t xml:space="preserve"> No. </w:t>
      </w:r>
      <w:proofErr w:type="spellStart"/>
      <w:r w:rsidRPr="004E0A51">
        <w:rPr>
          <w:rFonts w:ascii="Gulliver-Regular" w:hAnsi="Gulliver-Regular"/>
          <w:i/>
          <w:iCs/>
          <w:color w:val="000000" w:themeColor="text1"/>
          <w:lang w:val="en-GB"/>
        </w:rPr>
        <w:t>TAXUD</w:t>
      </w:r>
      <w:proofErr w:type="spellEnd"/>
      <w:r w:rsidRPr="004E0A51">
        <w:rPr>
          <w:rFonts w:ascii="Gulliver-Regular" w:hAnsi="Gulliver-Regular"/>
          <w:i/>
          <w:iCs/>
          <w:color w:val="000000" w:themeColor="text1"/>
          <w:lang w:val="en-GB"/>
        </w:rPr>
        <w:t>/2010/CC/104.</w:t>
      </w:r>
      <w:r w:rsidRPr="004E0A51">
        <w:rPr>
          <w:rFonts w:ascii="Gulliver-Regular" w:hAnsi="Gulliver-Regular"/>
          <w:iCs/>
          <w:color w:val="000000" w:themeColor="text1"/>
          <w:lang w:val="en-GB"/>
        </w:rPr>
        <w:t xml:space="preserve"> Warsaw.</w:t>
      </w:r>
    </w:p>
    <w:p w14:paraId="5CEF6757" w14:textId="77777777" w:rsidR="004E0A51" w:rsidRPr="004E0A51" w:rsidRDefault="004E0A51" w:rsidP="004E0A51">
      <w:pPr>
        <w:pStyle w:val="Text"/>
        <w:spacing w:before="60" w:after="60"/>
        <w:ind w:left="360" w:hanging="360"/>
        <w:jc w:val="left"/>
        <w:rPr>
          <w:rFonts w:ascii="Gulliver-Regular" w:hAnsi="Gulliver-Regular"/>
          <w:noProof/>
          <w:color w:val="000000" w:themeColor="text1"/>
          <w:lang w:val="en-GB"/>
        </w:rPr>
      </w:pPr>
      <w:r w:rsidRPr="004E0A51">
        <w:rPr>
          <w:rFonts w:ascii="Gulliver-Regular" w:hAnsi="Gulliver-Regular"/>
          <w:iCs/>
          <w:color w:val="000000" w:themeColor="text1"/>
          <w:lang w:val="en-GB"/>
        </w:rPr>
        <w:t xml:space="preserve">CASE and </w:t>
      </w:r>
      <w:proofErr w:type="spellStart"/>
      <w:r w:rsidRPr="004E0A51">
        <w:rPr>
          <w:rFonts w:ascii="Gulliver-Regular" w:hAnsi="Gulliver-Regular"/>
          <w:iCs/>
          <w:color w:val="000000" w:themeColor="text1"/>
          <w:lang w:val="en-GB"/>
        </w:rPr>
        <w:t>IEB</w:t>
      </w:r>
      <w:proofErr w:type="spellEnd"/>
      <w:r w:rsidRPr="004E0A51">
        <w:rPr>
          <w:rFonts w:ascii="Gulliver-Regular" w:hAnsi="Gulliver-Regular"/>
          <w:iCs/>
          <w:color w:val="000000" w:themeColor="text1"/>
          <w:lang w:val="en-GB"/>
        </w:rPr>
        <w:t xml:space="preserve"> (2018). </w:t>
      </w:r>
      <w:r w:rsidRPr="004E0A51">
        <w:rPr>
          <w:rFonts w:ascii="Gulliver-Regular" w:hAnsi="Gulliver-Regular"/>
          <w:i/>
          <w:iCs/>
          <w:color w:val="000000" w:themeColor="text1"/>
          <w:lang w:val="en-GB"/>
        </w:rPr>
        <w:t xml:space="preserve">Study and Reports on the VAT Gap in the EU-28 Member States:  2018 Final Report. </w:t>
      </w:r>
      <w:proofErr w:type="spellStart"/>
      <w:r w:rsidRPr="004E0A51">
        <w:rPr>
          <w:rFonts w:ascii="Gulliver-Regular" w:hAnsi="Gulliver-Regular"/>
          <w:i/>
          <w:iCs/>
          <w:color w:val="000000" w:themeColor="text1"/>
          <w:lang w:val="en-GB"/>
        </w:rPr>
        <w:t>TAXUD</w:t>
      </w:r>
      <w:proofErr w:type="spellEnd"/>
      <w:r w:rsidRPr="004E0A51">
        <w:rPr>
          <w:rFonts w:ascii="Gulliver-Regular" w:hAnsi="Gulliver-Regular"/>
          <w:i/>
          <w:iCs/>
          <w:color w:val="000000" w:themeColor="text1"/>
          <w:lang w:val="en-GB"/>
        </w:rPr>
        <w:t>/2015/CC/131.</w:t>
      </w:r>
      <w:r w:rsidRPr="004E0A51">
        <w:rPr>
          <w:rFonts w:ascii="Gulliver-Regular" w:hAnsi="Gulliver-Regular"/>
          <w:iCs/>
          <w:color w:val="000000" w:themeColor="text1"/>
          <w:lang w:val="en-GB"/>
        </w:rPr>
        <w:t xml:space="preserve"> Warsaw.</w:t>
      </w:r>
    </w:p>
    <w:p w14:paraId="675C6DC3"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iCs/>
          <w:color w:val="000000" w:themeColor="text1"/>
          <w:sz w:val="20"/>
          <w:lang w:val="en-GB"/>
        </w:rPr>
        <w:t>CASE</w:t>
      </w:r>
      <w:r w:rsidRPr="004E0A51">
        <w:rPr>
          <w:rFonts w:ascii="Gulliver-Regular" w:hAnsi="Gulliver-Regular"/>
          <w:color w:val="000000" w:themeColor="text1"/>
          <w:sz w:val="20"/>
          <w:lang w:val="en-GB"/>
        </w:rPr>
        <w:t>–</w:t>
      </w:r>
      <w:proofErr w:type="spellStart"/>
      <w:r w:rsidRPr="004E0A51">
        <w:rPr>
          <w:rFonts w:ascii="Gulliver-Regular" w:hAnsi="Gulliver-Regular"/>
          <w:iCs/>
          <w:color w:val="000000" w:themeColor="text1"/>
          <w:sz w:val="20"/>
          <w:lang w:val="en-GB"/>
        </w:rPr>
        <w:t>IEB</w:t>
      </w:r>
      <w:proofErr w:type="spellEnd"/>
      <w:r w:rsidRPr="004E0A51">
        <w:rPr>
          <w:rFonts w:ascii="Gulliver-Regular" w:hAnsi="Gulliver-Regular"/>
          <w:iCs/>
          <w:color w:val="000000" w:themeColor="text1"/>
          <w:sz w:val="20"/>
          <w:lang w:val="en-GB"/>
        </w:rPr>
        <w:t xml:space="preserve"> (2019). </w:t>
      </w:r>
      <w:r w:rsidRPr="004E0A51">
        <w:rPr>
          <w:rFonts w:ascii="Gulliver-Regular" w:hAnsi="Gulliver-Regular"/>
          <w:i/>
          <w:iCs/>
          <w:color w:val="000000" w:themeColor="text1"/>
          <w:sz w:val="20"/>
          <w:lang w:val="en-GB"/>
        </w:rPr>
        <w:t xml:space="preserve">Study and Reports on the VAT Gap in the EU-28 Member States: 2019 Final Report. </w:t>
      </w:r>
      <w:proofErr w:type="spellStart"/>
      <w:r w:rsidRPr="004E0A51">
        <w:rPr>
          <w:rFonts w:ascii="Gulliver-Regular" w:hAnsi="Gulliver-Regular"/>
          <w:i/>
          <w:iCs/>
          <w:color w:val="000000" w:themeColor="text1"/>
          <w:sz w:val="20"/>
          <w:lang w:val="en-GB"/>
        </w:rPr>
        <w:t>TAXUD</w:t>
      </w:r>
      <w:proofErr w:type="spellEnd"/>
      <w:r w:rsidRPr="004E0A51">
        <w:rPr>
          <w:rFonts w:ascii="Gulliver-Regular" w:hAnsi="Gulliver-Regular"/>
          <w:i/>
          <w:iCs/>
          <w:color w:val="000000" w:themeColor="text1"/>
          <w:sz w:val="20"/>
          <w:lang w:val="en-GB"/>
        </w:rPr>
        <w:t>/2015/CC/131.</w:t>
      </w:r>
      <w:r w:rsidRPr="004E0A51">
        <w:rPr>
          <w:rFonts w:ascii="Gulliver-Regular" w:hAnsi="Gulliver-Regular"/>
          <w:color w:val="000000" w:themeColor="text1"/>
          <w:sz w:val="20"/>
          <w:lang w:val="en-GB"/>
        </w:rPr>
        <w:t xml:space="preserve"> Warsaw. Retrieved May 1, 2021, from https://ec.europa.eu/taxation_customs/sites/taxation/files/vat-gap-full-report-2019_en.pdf</w:t>
      </w:r>
    </w:p>
    <w:p w14:paraId="5FEBC707"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CASE, </w:t>
      </w:r>
      <w:proofErr w:type="spellStart"/>
      <w:r w:rsidRPr="004E0A51">
        <w:rPr>
          <w:rFonts w:ascii="Gulliver-Regular" w:hAnsi="Gulliver-Regular"/>
          <w:color w:val="000000" w:themeColor="text1"/>
          <w:sz w:val="20"/>
          <w:lang w:val="en-GB"/>
        </w:rPr>
        <w:t>Europena</w:t>
      </w:r>
      <w:proofErr w:type="spellEnd"/>
      <w:r w:rsidRPr="004E0A51">
        <w:rPr>
          <w:rFonts w:ascii="Gulliver-Regular" w:hAnsi="Gulliver-Regular"/>
          <w:color w:val="000000" w:themeColor="text1"/>
          <w:sz w:val="20"/>
          <w:lang w:val="en-GB"/>
        </w:rPr>
        <w:t xml:space="preserve"> commission, </w:t>
      </w:r>
      <w:proofErr w:type="spellStart"/>
      <w:r w:rsidRPr="004E0A51">
        <w:rPr>
          <w:rFonts w:ascii="Gulliver-Regular" w:hAnsi="Gulliver-Regular"/>
          <w:color w:val="000000" w:themeColor="text1"/>
          <w:sz w:val="20"/>
          <w:lang w:val="en-GB"/>
        </w:rPr>
        <w:t>Economisti</w:t>
      </w:r>
      <w:proofErr w:type="spellEnd"/>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Associati</w:t>
      </w:r>
      <w:proofErr w:type="spellEnd"/>
      <w:r w:rsidRPr="004E0A51">
        <w:rPr>
          <w:rFonts w:ascii="Gulliver-Regular" w:hAnsi="Gulliver-Regular"/>
          <w:color w:val="000000" w:themeColor="text1"/>
          <w:sz w:val="20"/>
          <w:lang w:val="en-GB"/>
        </w:rPr>
        <w:t xml:space="preserve">. (2020). </w:t>
      </w:r>
      <w:r w:rsidRPr="004E0A51">
        <w:rPr>
          <w:rFonts w:ascii="Gulliver-Regular" w:hAnsi="Gulliver-Regular"/>
          <w:i/>
          <w:iCs/>
          <w:color w:val="000000" w:themeColor="text1"/>
          <w:sz w:val="20"/>
          <w:lang w:val="en-GB"/>
        </w:rPr>
        <w:t>Study and Reports on the VAT Gap in the EU-28 Member States: 2020 Final Report.</w:t>
      </w:r>
      <w:r w:rsidRPr="004E0A51">
        <w:rPr>
          <w:rFonts w:ascii="Gulliver-Regular" w:hAnsi="Gulliver-Regular"/>
          <w:color w:val="000000" w:themeColor="text1"/>
          <w:sz w:val="20"/>
          <w:lang w:val="en-GB"/>
        </w:rPr>
        <w:t xml:space="preserve"> Retrieved May 1, 2021, from </w:t>
      </w:r>
      <w:hyperlink r:id="rId17" w:history="1">
        <w:r w:rsidRPr="004E0A51">
          <w:rPr>
            <w:rStyle w:val="Hyperlink"/>
            <w:rFonts w:ascii="Gulliver-Regular" w:hAnsi="Gulliver-Regular"/>
            <w:color w:val="000000" w:themeColor="text1"/>
            <w:sz w:val="20"/>
            <w:u w:val="none"/>
            <w:lang w:val="en-GB"/>
          </w:rPr>
          <w:t>https://op.europa.eu/en/publication-detail/-/publication/48f32ee9-f3dd-11ea-991b-01aa75ed71a1/language-en</w:t>
        </w:r>
      </w:hyperlink>
    </w:p>
    <w:p w14:paraId="733F34AD"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Chan, S., &amp; </w:t>
      </w:r>
      <w:proofErr w:type="spellStart"/>
      <w:r w:rsidRPr="004E0A51">
        <w:rPr>
          <w:rFonts w:ascii="Gulliver-Regular" w:hAnsi="Gulliver-Regular"/>
          <w:color w:val="000000" w:themeColor="text1"/>
          <w:sz w:val="20"/>
          <w:lang w:val="en-GB"/>
        </w:rPr>
        <w:t>Ramly</w:t>
      </w:r>
      <w:proofErr w:type="spellEnd"/>
      <w:r w:rsidRPr="004E0A51">
        <w:rPr>
          <w:rFonts w:ascii="Gulliver-Regular" w:hAnsi="Gulliver-Regular"/>
          <w:color w:val="000000" w:themeColor="text1"/>
          <w:sz w:val="20"/>
          <w:lang w:val="en-GB"/>
        </w:rPr>
        <w:t xml:space="preserve">, Z. (2018). The role of country governance on value-added tax and inequality. </w:t>
      </w:r>
      <w:proofErr w:type="spellStart"/>
      <w:r w:rsidRPr="004E0A51">
        <w:rPr>
          <w:rFonts w:ascii="Gulliver-Regular" w:hAnsi="Gulliver-Regular"/>
          <w:color w:val="000000" w:themeColor="text1"/>
          <w:sz w:val="20"/>
          <w:lang w:val="en-GB"/>
        </w:rPr>
        <w:t>E</w:t>
      </w:r>
      <w:r w:rsidRPr="004E0A51">
        <w:rPr>
          <w:rFonts w:ascii="Gulliver-Regular" w:hAnsi="Gulliver-Regular"/>
          <w:i/>
          <w:iCs/>
          <w:color w:val="000000" w:themeColor="text1"/>
          <w:sz w:val="20"/>
          <w:lang w:val="en-GB"/>
        </w:rPr>
        <w:t>+M</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Ekonomie</w:t>
      </w:r>
      <w:proofErr w:type="spellEnd"/>
      <w:r w:rsidRPr="004E0A51">
        <w:rPr>
          <w:rFonts w:ascii="Gulliver-Regular" w:hAnsi="Gulliver-Regular"/>
          <w:i/>
          <w:iCs/>
          <w:color w:val="000000" w:themeColor="text1"/>
          <w:sz w:val="20"/>
          <w:lang w:val="en-GB"/>
        </w:rPr>
        <w:t xml:space="preserve"> a Management, 21</w:t>
      </w:r>
      <w:r w:rsidRPr="004E0A51">
        <w:rPr>
          <w:rFonts w:ascii="Gulliver-Regular" w:hAnsi="Gulliver-Regular"/>
          <w:color w:val="000000" w:themeColor="text1"/>
          <w:sz w:val="20"/>
          <w:lang w:val="en-GB"/>
        </w:rPr>
        <w:t xml:space="preserve">(4), 79-93. </w:t>
      </w:r>
    </w:p>
    <w:p w14:paraId="5AD4C895"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Cheng, H., &amp; Ma, L. (2009). White collar crime and the criminal justice system: Government response to bank fraud and corruption in China. </w:t>
      </w:r>
      <w:r w:rsidRPr="004E0A51">
        <w:rPr>
          <w:rFonts w:ascii="Gulliver-Regular" w:hAnsi="Gulliver-Regular"/>
          <w:i/>
          <w:iCs/>
          <w:color w:val="000000" w:themeColor="text1"/>
          <w:sz w:val="20"/>
          <w:lang w:val="en-GB"/>
        </w:rPr>
        <w:t>Journal of Financial crime, 16</w:t>
      </w:r>
      <w:r w:rsidRPr="004E0A51">
        <w:rPr>
          <w:rFonts w:ascii="Gulliver-Regular" w:hAnsi="Gulliver-Regular"/>
          <w:color w:val="000000" w:themeColor="text1"/>
          <w:sz w:val="20"/>
          <w:lang w:val="en-GB"/>
        </w:rPr>
        <w:t xml:space="preserve">(2), 166-179. </w:t>
      </w:r>
      <w:r w:rsidRPr="004E0A51">
        <w:rPr>
          <w:rFonts w:ascii="Gulliver-Regular" w:hAnsi="Gulliver-Regular" w:cs="Open Sans"/>
          <w:color w:val="000000" w:themeColor="text1"/>
          <w:sz w:val="20"/>
          <w:shd w:val="clear" w:color="auto" w:fill="FFFFFF"/>
        </w:rPr>
        <w:t> </w:t>
      </w:r>
      <w:hyperlink r:id="rId18" w:tooltip="DOI: https://doi.org/10.1108/13590790910951849" w:history="1">
        <w:r w:rsidRPr="004E0A51">
          <w:rPr>
            <w:rStyle w:val="Hyperlink"/>
            <w:rFonts w:ascii="Gulliver-Regular" w:hAnsi="Gulliver-Regular" w:cs="Open Sans"/>
            <w:color w:val="000000" w:themeColor="text1"/>
            <w:sz w:val="20"/>
            <w:u w:val="none"/>
            <w:shd w:val="clear" w:color="auto" w:fill="FFFFFF"/>
          </w:rPr>
          <w:t>https://doi.org/10.1108/13590790910951849</w:t>
        </w:r>
      </w:hyperlink>
    </w:p>
    <w:p w14:paraId="301FE029" w14:textId="77777777" w:rsidR="004E0A51" w:rsidRPr="004E0A51" w:rsidRDefault="004E0A51" w:rsidP="004E0A51">
      <w:pPr>
        <w:pStyle w:val="FootnoteText"/>
        <w:spacing w:before="60" w:after="60"/>
        <w:ind w:left="360" w:hanging="360"/>
        <w:rPr>
          <w:rFonts w:ascii="Gulliver-Regular" w:hAnsi="Gulliver-Regular" w:cs="Arial"/>
          <w:color w:val="000000" w:themeColor="text1"/>
        </w:rPr>
      </w:pPr>
      <w:r w:rsidRPr="004E0A51">
        <w:rPr>
          <w:rFonts w:ascii="Gulliver-Regular" w:hAnsi="Gulliver-Regular" w:cs="Arial"/>
          <w:color w:val="000000" w:themeColor="text1"/>
        </w:rPr>
        <w:t xml:space="preserve">Cockfield, A. J. (2002). Designing Tax Policy for the Digital Biosphere: How the Internet is Changing Tax Laws. </w:t>
      </w:r>
      <w:r w:rsidRPr="004E0A51">
        <w:rPr>
          <w:rFonts w:ascii="Gulliver-Regular" w:hAnsi="Gulliver-Regular" w:cs="Arial"/>
          <w:i/>
          <w:iCs/>
          <w:color w:val="000000" w:themeColor="text1"/>
        </w:rPr>
        <w:t xml:space="preserve">Connecticut Law Review, 34, 368. </w:t>
      </w:r>
    </w:p>
    <w:p w14:paraId="51E74B2D" w14:textId="77777777" w:rsidR="004E0A51" w:rsidRPr="004E0A51" w:rsidRDefault="004E0A51" w:rsidP="004E0A51">
      <w:pPr>
        <w:spacing w:before="60" w:after="60"/>
        <w:ind w:left="360" w:hanging="360"/>
        <w:jc w:val="left"/>
        <w:rPr>
          <w:rFonts w:ascii="Gulliver-Regular" w:eastAsia="Calibri" w:hAnsi="Gulliver-Regular"/>
          <w:color w:val="000000" w:themeColor="text1"/>
          <w:sz w:val="20"/>
          <w:lang w:val="en-GB"/>
        </w:rPr>
      </w:pPr>
      <w:r w:rsidRPr="004E0A51">
        <w:rPr>
          <w:rFonts w:ascii="Gulliver-Regular" w:eastAsia="Calibri" w:hAnsi="Gulliver-Regular"/>
          <w:color w:val="000000" w:themeColor="text1"/>
          <w:sz w:val="20"/>
          <w:lang w:val="en-GB"/>
        </w:rPr>
        <w:t>Council Directive 2006/112/EC of 28.11. 2006 on the common system of value added tax.</w:t>
      </w:r>
    </w:p>
    <w:p w14:paraId="313BE5B9"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Council Directive (EU) 2016/1164 of 12.7.2016 laying down rules against tax avoidance practices that directly affect the functioning of the internal market.</w:t>
      </w:r>
    </w:p>
    <w:p w14:paraId="61E8C505"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Daude</w:t>
      </w:r>
      <w:proofErr w:type="spellEnd"/>
      <w:r w:rsidRPr="004E0A51">
        <w:rPr>
          <w:rFonts w:ascii="Gulliver-Regular" w:hAnsi="Gulliver-Regular"/>
          <w:color w:val="000000" w:themeColor="text1"/>
          <w:sz w:val="20"/>
          <w:lang w:val="en-GB"/>
        </w:rPr>
        <w:t xml:space="preserve">, Ch., Gutiérrez, H., </w:t>
      </w:r>
      <w:r w:rsidRPr="004E0A51">
        <w:rPr>
          <w:rFonts w:ascii="Gulliver-Regular" w:hAnsi="Gulliver-Regular" w:cstheme="minorHAnsi"/>
          <w:color w:val="000000" w:themeColor="text1"/>
          <w:sz w:val="20"/>
          <w:lang w:val="en-GB"/>
        </w:rPr>
        <w:t>&amp;</w:t>
      </w:r>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Melguizo</w:t>
      </w:r>
      <w:proofErr w:type="spellEnd"/>
      <w:r w:rsidRPr="004E0A51">
        <w:rPr>
          <w:rFonts w:ascii="Gulliver-Regular" w:hAnsi="Gulliver-Regular"/>
          <w:color w:val="000000" w:themeColor="text1"/>
          <w:sz w:val="20"/>
          <w:lang w:val="en-GB"/>
        </w:rPr>
        <w:t xml:space="preserve">, Á. (2013). What Drives Tax Morale? A Focus on Emerging Economies. </w:t>
      </w:r>
      <w:r w:rsidRPr="004E0A51">
        <w:rPr>
          <w:rFonts w:ascii="Gulliver-Regular" w:hAnsi="Gulliver-Regular"/>
          <w:i/>
          <w:iCs/>
          <w:color w:val="000000" w:themeColor="text1"/>
          <w:sz w:val="20"/>
          <w:lang w:val="en-GB"/>
        </w:rPr>
        <w:t xml:space="preserve">Hacienda </w:t>
      </w:r>
      <w:proofErr w:type="spellStart"/>
      <w:r w:rsidRPr="004E0A51">
        <w:rPr>
          <w:rFonts w:ascii="Gulliver-Regular" w:hAnsi="Gulliver-Regular"/>
          <w:i/>
          <w:iCs/>
          <w:color w:val="000000" w:themeColor="text1"/>
          <w:sz w:val="20"/>
          <w:lang w:val="en-GB"/>
        </w:rPr>
        <w:t>Pública</w:t>
      </w:r>
      <w:proofErr w:type="spellEnd"/>
      <w:r w:rsidRPr="004E0A51">
        <w:rPr>
          <w:rFonts w:ascii="Gulliver-Regular" w:hAnsi="Gulliver-Regular"/>
          <w:i/>
          <w:iCs/>
          <w:color w:val="000000" w:themeColor="text1"/>
          <w:sz w:val="20"/>
          <w:lang w:val="en-GB"/>
        </w:rPr>
        <w:t xml:space="preserve"> Espa</w:t>
      </w:r>
      <w:r w:rsidRPr="004E0A51">
        <w:rPr>
          <w:rFonts w:ascii="Gulliver-Regular" w:hAnsi="Gulliver-Regular" w:cstheme="minorHAnsi"/>
          <w:i/>
          <w:iCs/>
          <w:color w:val="000000" w:themeColor="text1"/>
          <w:sz w:val="20"/>
          <w:lang w:val="en-GB"/>
        </w:rPr>
        <w:t>ñ</w:t>
      </w:r>
      <w:r w:rsidRPr="004E0A51">
        <w:rPr>
          <w:rFonts w:ascii="Gulliver-Regular" w:hAnsi="Gulliver-Regular"/>
          <w:i/>
          <w:iCs/>
          <w:color w:val="000000" w:themeColor="text1"/>
          <w:sz w:val="20"/>
          <w:lang w:val="en-GB"/>
        </w:rPr>
        <w:t>ola / Review of Public Economics, 207(4),</w:t>
      </w:r>
      <w:r w:rsidRPr="004E0A51">
        <w:rPr>
          <w:rFonts w:ascii="Gulliver-Regular" w:hAnsi="Gulliver-Regular"/>
          <w:color w:val="000000" w:themeColor="text1"/>
          <w:sz w:val="20"/>
          <w:lang w:val="en-GB"/>
        </w:rPr>
        <w:t xml:space="preserve"> 9-40. </w:t>
      </w:r>
      <w:r w:rsidRPr="004E0A51">
        <w:rPr>
          <w:rFonts w:ascii="Gulliver-Regular" w:hAnsi="Gulliver-Regular"/>
          <w:color w:val="000000" w:themeColor="text1"/>
          <w:sz w:val="20"/>
        </w:rPr>
        <w:t>DOI: 10.7866/HPE-rPE.13.4.1</w:t>
      </w:r>
    </w:p>
    <w:p w14:paraId="39DB305A"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Di </w:t>
      </w:r>
      <w:proofErr w:type="spellStart"/>
      <w:r w:rsidRPr="004E0A51">
        <w:rPr>
          <w:rFonts w:ascii="Gulliver-Regular" w:hAnsi="Gulliver-Regular"/>
          <w:color w:val="000000" w:themeColor="text1"/>
          <w:sz w:val="20"/>
          <w:lang w:val="en-GB"/>
        </w:rPr>
        <w:t>Gioacchino</w:t>
      </w:r>
      <w:proofErr w:type="spellEnd"/>
      <w:r w:rsidRPr="004E0A51">
        <w:rPr>
          <w:rFonts w:ascii="Gulliver-Regular" w:hAnsi="Gulliver-Regular"/>
          <w:color w:val="000000" w:themeColor="text1"/>
          <w:sz w:val="20"/>
          <w:lang w:val="en-GB"/>
        </w:rPr>
        <w:t xml:space="preserve">, D., &amp; </w:t>
      </w:r>
      <w:proofErr w:type="spellStart"/>
      <w:r w:rsidRPr="004E0A51">
        <w:rPr>
          <w:rFonts w:ascii="Gulliver-Regular" w:hAnsi="Gulliver-Regular"/>
          <w:color w:val="000000" w:themeColor="text1"/>
          <w:sz w:val="20"/>
          <w:lang w:val="en-GB"/>
        </w:rPr>
        <w:t>Fichera</w:t>
      </w:r>
      <w:proofErr w:type="spellEnd"/>
      <w:r w:rsidRPr="004E0A51">
        <w:rPr>
          <w:rFonts w:ascii="Gulliver-Regular" w:hAnsi="Gulliver-Regular"/>
          <w:color w:val="000000" w:themeColor="text1"/>
          <w:sz w:val="20"/>
          <w:lang w:val="en-GB"/>
        </w:rPr>
        <w:t xml:space="preserve">, D. (2020). Tax evasion and tax morale: a social network analysis. </w:t>
      </w:r>
      <w:r w:rsidRPr="004E0A51">
        <w:rPr>
          <w:rFonts w:ascii="Gulliver-Regular" w:hAnsi="Gulliver-Regular"/>
          <w:i/>
          <w:iCs/>
          <w:color w:val="000000" w:themeColor="text1"/>
          <w:sz w:val="20"/>
          <w:lang w:val="en-GB"/>
        </w:rPr>
        <w:t>European Journal of Political Economy</w:t>
      </w:r>
      <w:r w:rsidRPr="004E0A51">
        <w:rPr>
          <w:rFonts w:ascii="Gulliver-Regular" w:hAnsi="Gulliver-Regular"/>
          <w:color w:val="000000" w:themeColor="text1"/>
          <w:sz w:val="20"/>
          <w:lang w:val="en-GB"/>
        </w:rPr>
        <w:t xml:space="preserve">, </w:t>
      </w:r>
      <w:r w:rsidRPr="004E0A51">
        <w:rPr>
          <w:rFonts w:ascii="Gulliver-Regular" w:hAnsi="Gulliver-Regular"/>
          <w:i/>
          <w:iCs/>
          <w:color w:val="000000" w:themeColor="text1"/>
          <w:sz w:val="20"/>
          <w:lang w:val="en-GB"/>
        </w:rPr>
        <w:t>65.</w:t>
      </w:r>
      <w:r w:rsidRPr="004E0A51">
        <w:rPr>
          <w:rFonts w:ascii="Gulliver-Regular" w:hAnsi="Gulliver-Regular"/>
          <w:color w:val="000000" w:themeColor="text1"/>
          <w:sz w:val="20"/>
          <w:lang w:val="en-GB"/>
        </w:rPr>
        <w:t xml:space="preserve"> </w:t>
      </w:r>
    </w:p>
    <w:p w14:paraId="28DAB6E0"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Drenski</w:t>
      </w:r>
      <w:proofErr w:type="spellEnd"/>
      <w:r w:rsidRPr="004E0A51">
        <w:rPr>
          <w:rFonts w:ascii="Gulliver-Regular" w:hAnsi="Gulliver-Regular"/>
          <w:color w:val="000000" w:themeColor="text1"/>
          <w:sz w:val="20"/>
          <w:lang w:val="en-GB"/>
        </w:rPr>
        <w:t xml:space="preserve">, A., </w:t>
      </w:r>
      <w:proofErr w:type="spellStart"/>
      <w:r w:rsidRPr="004E0A51">
        <w:rPr>
          <w:rFonts w:ascii="Gulliver-Regular" w:hAnsi="Gulliver-Regular"/>
          <w:color w:val="000000" w:themeColor="text1"/>
          <w:sz w:val="20"/>
          <w:lang w:val="en-GB"/>
        </w:rPr>
        <w:t>Hallren</w:t>
      </w:r>
      <w:proofErr w:type="spellEnd"/>
      <w:r w:rsidRPr="004E0A51">
        <w:rPr>
          <w:rFonts w:ascii="Gulliver-Regular" w:hAnsi="Gulliver-Regular"/>
          <w:color w:val="000000" w:themeColor="text1"/>
          <w:sz w:val="20"/>
          <w:lang w:val="en-GB"/>
        </w:rPr>
        <w:t xml:space="preserve">, R., &amp; N. Lee, J. (2019). Tariff evasion in global trade data. </w:t>
      </w:r>
      <w:r w:rsidRPr="004E0A51">
        <w:rPr>
          <w:rFonts w:ascii="Gulliver-Regular" w:hAnsi="Gulliver-Regular"/>
          <w:i/>
          <w:iCs/>
          <w:color w:val="000000" w:themeColor="text1"/>
          <w:sz w:val="20"/>
          <w:lang w:val="en-GB"/>
        </w:rPr>
        <w:t xml:space="preserve">The Journal of International Trade </w:t>
      </w:r>
      <w:r w:rsidRPr="004E0A51">
        <w:rPr>
          <w:rFonts w:ascii="Cambria" w:hAnsi="Cambria"/>
          <w:i/>
          <w:iCs/>
          <w:color w:val="000000" w:themeColor="text1"/>
          <w:sz w:val="20"/>
          <w:lang w:val="en-GB"/>
        </w:rPr>
        <w:t>&amp;</w:t>
      </w:r>
      <w:r w:rsidRPr="004E0A51">
        <w:rPr>
          <w:rFonts w:ascii="Gulliver-Regular" w:hAnsi="Gulliver-Regular"/>
          <w:i/>
          <w:iCs/>
          <w:color w:val="000000" w:themeColor="text1"/>
          <w:sz w:val="20"/>
          <w:lang w:val="en-GB"/>
        </w:rPr>
        <w:t xml:space="preserve"> Economic Development, 28(7), </w:t>
      </w:r>
      <w:r w:rsidRPr="004E0A51">
        <w:rPr>
          <w:rFonts w:ascii="Gulliver-Regular" w:hAnsi="Gulliver-Regular"/>
          <w:color w:val="000000" w:themeColor="text1"/>
          <w:sz w:val="20"/>
          <w:lang w:val="en-GB"/>
        </w:rPr>
        <w:t xml:space="preserve">829-842. Doi: </w:t>
      </w:r>
      <w:hyperlink r:id="rId19" w:history="1">
        <w:r w:rsidRPr="004E0A51">
          <w:rPr>
            <w:rStyle w:val="Hyperlink"/>
            <w:rFonts w:ascii="Gulliver-Regular" w:hAnsi="Gulliver-Regular" w:cs="Open Sans"/>
            <w:color w:val="000000" w:themeColor="text1"/>
            <w:sz w:val="20"/>
            <w:u w:val="none"/>
          </w:rPr>
          <w:t>https://doi.org/10.1080/09638199.2019.1602667</w:t>
        </w:r>
      </w:hyperlink>
    </w:p>
    <w:p w14:paraId="69A68278" w14:textId="77777777" w:rsidR="004E0A51" w:rsidRPr="004E0A51" w:rsidRDefault="004E0A51" w:rsidP="004E0A51">
      <w:pPr>
        <w:pStyle w:val="MDPI71References"/>
        <w:numPr>
          <w:ilvl w:val="0"/>
          <w:numId w:val="0"/>
        </w:numPr>
        <w:spacing w:before="60" w:after="60" w:line="240" w:lineRule="auto"/>
        <w:ind w:left="360" w:hanging="360"/>
        <w:jc w:val="left"/>
        <w:rPr>
          <w:rStyle w:val="Hyperlink"/>
          <w:color w:val="000000" w:themeColor="text1"/>
          <w:u w:val="none"/>
          <w:shd w:val="clear" w:color="auto" w:fill="FFFFFF"/>
        </w:rPr>
      </w:pPr>
      <w:r w:rsidRPr="004E0A51">
        <w:rPr>
          <w:rFonts w:ascii="Gulliver-Regular" w:hAnsi="Gulliver-Regular"/>
          <w:color w:val="000000" w:themeColor="text1"/>
          <w:sz w:val="20"/>
          <w:lang w:val="en-GB"/>
        </w:rPr>
        <w:t>Durán-</w:t>
      </w:r>
      <w:proofErr w:type="spellStart"/>
      <w:r w:rsidRPr="004E0A51">
        <w:rPr>
          <w:rFonts w:ascii="Gulliver-Regular" w:hAnsi="Gulliver-Regular"/>
          <w:color w:val="000000" w:themeColor="text1"/>
          <w:sz w:val="20"/>
          <w:lang w:val="en-GB"/>
        </w:rPr>
        <w:t>Cabré</w:t>
      </w:r>
      <w:proofErr w:type="spellEnd"/>
      <w:r w:rsidRPr="004E0A51">
        <w:rPr>
          <w:rFonts w:ascii="Gulliver-Regular" w:hAnsi="Gulliver-Regular"/>
          <w:color w:val="000000" w:themeColor="text1"/>
          <w:sz w:val="20"/>
          <w:lang w:val="en-GB"/>
        </w:rPr>
        <w:t xml:space="preserve">, J. M., </w:t>
      </w:r>
      <w:proofErr w:type="spellStart"/>
      <w:r w:rsidRPr="004E0A51">
        <w:rPr>
          <w:rFonts w:ascii="Gulliver-Regular" w:hAnsi="Gulliver-Regular"/>
          <w:color w:val="000000" w:themeColor="text1"/>
          <w:sz w:val="20"/>
          <w:lang w:val="en-GB"/>
        </w:rPr>
        <w:t>Moré</w:t>
      </w:r>
      <w:proofErr w:type="spellEnd"/>
      <w:r w:rsidRPr="004E0A51">
        <w:rPr>
          <w:rFonts w:ascii="Gulliver-Regular" w:hAnsi="Gulliver-Regular"/>
          <w:color w:val="000000" w:themeColor="text1"/>
          <w:sz w:val="20"/>
          <w:lang w:val="en-GB"/>
        </w:rPr>
        <w:t xml:space="preserve">, A. E., &amp; Mas-Montserrat, M. (2019). The tax gap as a public management instrument: application to wealth taxes. </w:t>
      </w:r>
      <w:r w:rsidRPr="004E0A51">
        <w:rPr>
          <w:rFonts w:ascii="Gulliver-Regular" w:hAnsi="Gulliver-Regular"/>
          <w:i/>
          <w:iCs/>
          <w:color w:val="000000" w:themeColor="text1"/>
          <w:sz w:val="20"/>
          <w:lang w:val="en-GB"/>
        </w:rPr>
        <w:t>Applied Economic Analysis, 27</w:t>
      </w:r>
      <w:r w:rsidRPr="004E0A51">
        <w:rPr>
          <w:rFonts w:ascii="Gulliver-Regular" w:hAnsi="Gulliver-Regular"/>
          <w:color w:val="000000" w:themeColor="text1"/>
          <w:sz w:val="20"/>
          <w:lang w:val="en-GB"/>
        </w:rPr>
        <w:t xml:space="preserve">(81), 207-225. Doi: </w:t>
      </w:r>
      <w:hyperlink r:id="rId20" w:tooltip="DOI: https://doi.org/10.1108/AEA-09-2019-0028" w:history="1">
        <w:r w:rsidRPr="004E0A51">
          <w:rPr>
            <w:rStyle w:val="Hyperlink"/>
            <w:rFonts w:ascii="Gulliver-Regular" w:hAnsi="Gulliver-Regular"/>
            <w:color w:val="000000" w:themeColor="text1"/>
            <w:sz w:val="20"/>
            <w:u w:val="none"/>
            <w:shd w:val="clear" w:color="auto" w:fill="FFFFFF"/>
            <w:lang w:val="en-GB"/>
          </w:rPr>
          <w:t>https://doi.org/10.1108/AEA-09-2019-0028</w:t>
        </w:r>
      </w:hyperlink>
    </w:p>
    <w:p w14:paraId="33E8204B" w14:textId="77777777" w:rsidR="004E0A51" w:rsidRPr="004E0A51" w:rsidRDefault="004E0A51" w:rsidP="004E0A51">
      <w:pPr>
        <w:pStyle w:val="MDPI71References"/>
        <w:numPr>
          <w:ilvl w:val="0"/>
          <w:numId w:val="0"/>
        </w:numPr>
        <w:spacing w:before="60" w:after="60" w:line="240" w:lineRule="auto"/>
        <w:ind w:left="360" w:hanging="360"/>
        <w:jc w:val="left"/>
        <w:rPr>
          <w:color w:val="000000" w:themeColor="text1"/>
        </w:rPr>
      </w:pPr>
      <w:proofErr w:type="spellStart"/>
      <w:r w:rsidRPr="004E0A51">
        <w:rPr>
          <w:rFonts w:ascii="Gulliver-Regular" w:hAnsi="Gulliver-Regular"/>
          <w:color w:val="000000" w:themeColor="text1"/>
          <w:sz w:val="20"/>
          <w:lang w:val="en-GB"/>
        </w:rPr>
        <w:t>Gábik</w:t>
      </w:r>
      <w:proofErr w:type="spellEnd"/>
      <w:r w:rsidRPr="004E0A51">
        <w:rPr>
          <w:rFonts w:ascii="Gulliver-Regular" w:hAnsi="Gulliver-Regular"/>
          <w:color w:val="000000" w:themeColor="text1"/>
          <w:sz w:val="20"/>
          <w:lang w:val="en-GB"/>
        </w:rPr>
        <w:t xml:space="preserve">, R., &amp; </w:t>
      </w:r>
      <w:proofErr w:type="spellStart"/>
      <w:r w:rsidRPr="004E0A51">
        <w:rPr>
          <w:rFonts w:ascii="Gulliver-Regular" w:hAnsi="Gulliver-Regular"/>
          <w:color w:val="000000" w:themeColor="text1"/>
          <w:sz w:val="20"/>
          <w:lang w:val="en-GB"/>
        </w:rPr>
        <w:t>Motková</w:t>
      </w:r>
      <w:proofErr w:type="spellEnd"/>
      <w:r w:rsidRPr="004E0A51">
        <w:rPr>
          <w:rFonts w:ascii="Gulliver-Regular" w:hAnsi="Gulliver-Regular"/>
          <w:color w:val="000000" w:themeColor="text1"/>
          <w:sz w:val="20"/>
          <w:lang w:val="en-GB"/>
        </w:rPr>
        <w:t xml:space="preserve">, M. (2019). </w:t>
      </w:r>
      <w:proofErr w:type="spellStart"/>
      <w:r w:rsidRPr="004E0A51">
        <w:rPr>
          <w:rFonts w:ascii="Gulliver-Regular" w:hAnsi="Gulliver-Regular"/>
          <w:i/>
          <w:iCs/>
          <w:color w:val="000000" w:themeColor="text1"/>
          <w:sz w:val="20"/>
          <w:lang w:val="en-GB"/>
        </w:rPr>
        <w:t>Da</w:t>
      </w:r>
      <w:r w:rsidRPr="004E0A51">
        <w:rPr>
          <w:rFonts w:ascii="Cambria" w:hAnsi="Cambria" w:cs="Cambria"/>
          <w:i/>
          <w:iCs/>
          <w:color w:val="000000" w:themeColor="text1"/>
          <w:sz w:val="20"/>
          <w:lang w:val="en-GB"/>
        </w:rPr>
        <w:t>ň</w:t>
      </w:r>
      <w:r w:rsidRPr="004E0A51">
        <w:rPr>
          <w:rFonts w:ascii="Gulliver-Regular" w:hAnsi="Gulliver-Regular"/>
          <w:i/>
          <w:iCs/>
          <w:color w:val="000000" w:themeColor="text1"/>
          <w:sz w:val="20"/>
          <w:lang w:val="en-GB"/>
        </w:rPr>
        <w:t>ov</w:t>
      </w:r>
      <w:r w:rsidRPr="004E0A51">
        <w:rPr>
          <w:rFonts w:ascii="Gulliver-Regular" w:hAnsi="Gulliver-Regular" w:cs="Gulliver-Regular"/>
          <w:i/>
          <w:iCs/>
          <w:color w:val="000000" w:themeColor="text1"/>
          <w:sz w:val="20"/>
          <w:lang w:val="en-GB"/>
        </w:rPr>
        <w:t>á</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medzera</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na</w:t>
      </w:r>
      <w:proofErr w:type="spellEnd"/>
      <w:r w:rsidRPr="004E0A51">
        <w:rPr>
          <w:rFonts w:ascii="Gulliver-Regular" w:hAnsi="Gulliver-Regular"/>
          <w:i/>
          <w:iCs/>
          <w:color w:val="000000" w:themeColor="text1"/>
          <w:sz w:val="20"/>
          <w:lang w:val="en-GB"/>
        </w:rPr>
        <w:t xml:space="preserve"> DPH</w:t>
      </w:r>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Ministerstvo</w:t>
      </w:r>
      <w:proofErr w:type="spellEnd"/>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Financií</w:t>
      </w:r>
      <w:proofErr w:type="spellEnd"/>
      <w:r w:rsidRPr="004E0A51">
        <w:rPr>
          <w:rFonts w:ascii="Gulliver-Regular" w:hAnsi="Gulliver-Regular"/>
          <w:color w:val="000000" w:themeColor="text1"/>
          <w:sz w:val="20"/>
          <w:lang w:val="en-GB"/>
        </w:rPr>
        <w:t xml:space="preserve"> SR: Bratislava, Slovakia.</w:t>
      </w:r>
    </w:p>
    <w:p w14:paraId="6B2BA9E5"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shd w:val="clear" w:color="auto" w:fill="FFFFFF"/>
          <w:lang w:val="en-GB"/>
        </w:rPr>
      </w:pPr>
      <w:r w:rsidRPr="004E0A51">
        <w:rPr>
          <w:rFonts w:ascii="Gulliver-Regular" w:hAnsi="Gulliver-Regular"/>
          <w:color w:val="000000" w:themeColor="text1"/>
          <w:sz w:val="20"/>
          <w:lang w:val="en-GB"/>
        </w:rPr>
        <w:t>Global Risk Profile. (2021). Global Corruption Index 2021. Retrieved December 1, 2021, from https://risk-indexes.com/global-corruption-index/</w:t>
      </w:r>
    </w:p>
    <w:p w14:paraId="0521AF6E" w14:textId="77777777" w:rsidR="004E0A51" w:rsidRPr="004E0A51" w:rsidRDefault="004E0A51" w:rsidP="004E0A51">
      <w:pPr>
        <w:spacing w:before="60" w:after="60"/>
        <w:ind w:left="360" w:hanging="360"/>
        <w:jc w:val="left"/>
        <w:rPr>
          <w:rStyle w:val="Hyperlink"/>
          <w:color w:val="000000" w:themeColor="text1"/>
          <w:u w:val="none"/>
        </w:rPr>
      </w:pPr>
      <w:proofErr w:type="spellStart"/>
      <w:r w:rsidRPr="004E0A51">
        <w:rPr>
          <w:rFonts w:ascii="Gulliver-Regular" w:eastAsia="Calibri" w:hAnsi="Gulliver-Regular"/>
          <w:iCs/>
          <w:caps/>
          <w:color w:val="000000" w:themeColor="text1"/>
          <w:sz w:val="20"/>
          <w:lang w:val="en-GB"/>
        </w:rPr>
        <w:t>Europena</w:t>
      </w:r>
      <w:proofErr w:type="spellEnd"/>
      <w:r w:rsidRPr="004E0A51">
        <w:rPr>
          <w:rFonts w:ascii="Gulliver-Regular" w:eastAsia="Calibri" w:hAnsi="Gulliver-Regular"/>
          <w:iCs/>
          <w:caps/>
          <w:color w:val="000000" w:themeColor="text1"/>
          <w:sz w:val="20"/>
          <w:lang w:val="en-GB"/>
        </w:rPr>
        <w:t xml:space="preserve"> union. (</w:t>
      </w:r>
      <w:r w:rsidRPr="004E0A51">
        <w:rPr>
          <w:rFonts w:ascii="Gulliver-Regular" w:eastAsia="Calibri" w:hAnsi="Gulliver-Regular"/>
          <w:iCs/>
          <w:color w:val="000000" w:themeColor="text1"/>
          <w:sz w:val="20"/>
          <w:lang w:val="en-GB"/>
        </w:rPr>
        <w:t xml:space="preserve">2021). </w:t>
      </w:r>
      <w:r w:rsidRPr="004E0A51">
        <w:rPr>
          <w:rFonts w:ascii="Gulliver-Regular" w:hAnsi="Gulliver-Regular"/>
          <w:i/>
          <w:color w:val="000000" w:themeColor="text1"/>
          <w:sz w:val="20"/>
          <w:lang w:val="en-GB"/>
        </w:rPr>
        <w:t>VAT rules and rates</w:t>
      </w:r>
      <w:r w:rsidRPr="004E0A51">
        <w:rPr>
          <w:rFonts w:ascii="Gulliver-Regular" w:hAnsi="Gulliver-Regular"/>
          <w:iCs/>
          <w:color w:val="000000" w:themeColor="text1"/>
          <w:sz w:val="20"/>
          <w:lang w:val="en-GB"/>
        </w:rPr>
        <w:t xml:space="preserve">. </w:t>
      </w:r>
      <w:r w:rsidRPr="004E0A51">
        <w:rPr>
          <w:rFonts w:ascii="Gulliver-Regular" w:hAnsi="Gulliver-Regular"/>
          <w:color w:val="000000" w:themeColor="text1"/>
          <w:sz w:val="20"/>
          <w:lang w:val="en-GB"/>
        </w:rPr>
        <w:t xml:space="preserve">Retrieved April 14, 2021, from </w:t>
      </w:r>
      <w:hyperlink r:id="rId21" w:history="1">
        <w:r w:rsidRPr="004E0A51">
          <w:rPr>
            <w:rStyle w:val="Hyperlink"/>
            <w:rFonts w:ascii="Gulliver-Regular" w:hAnsi="Gulliver-Regular"/>
            <w:color w:val="000000" w:themeColor="text1"/>
            <w:sz w:val="20"/>
            <w:u w:val="none"/>
            <w:lang w:val="en-GB"/>
          </w:rPr>
          <w:t>https://europa.eu/youreurope/business/taxation/vat/vat-rules-rates/index_en.htm</w:t>
        </w:r>
      </w:hyperlink>
    </w:p>
    <w:p w14:paraId="7853BE8A" w14:textId="77777777" w:rsidR="004E0A51" w:rsidRPr="004E0A51" w:rsidRDefault="004E0A51" w:rsidP="004E0A51">
      <w:pPr>
        <w:pStyle w:val="MDPI71References"/>
        <w:numPr>
          <w:ilvl w:val="0"/>
          <w:numId w:val="0"/>
        </w:numPr>
        <w:spacing w:before="60" w:after="60" w:line="240" w:lineRule="auto"/>
        <w:ind w:left="360" w:hanging="360"/>
        <w:jc w:val="left"/>
        <w:rPr>
          <w:color w:val="000000" w:themeColor="text1"/>
        </w:rPr>
      </w:pPr>
      <w:proofErr w:type="spellStart"/>
      <w:r w:rsidRPr="004E0A51">
        <w:rPr>
          <w:rFonts w:ascii="Gulliver-Regular" w:hAnsi="Gulliver-Regular"/>
          <w:color w:val="000000" w:themeColor="text1"/>
          <w:sz w:val="20"/>
          <w:lang w:val="en-GB"/>
        </w:rPr>
        <w:t>Frunza</w:t>
      </w:r>
      <w:proofErr w:type="spellEnd"/>
      <w:r w:rsidRPr="004E0A51">
        <w:rPr>
          <w:rFonts w:ascii="Gulliver-Regular" w:hAnsi="Gulliver-Regular"/>
          <w:color w:val="000000" w:themeColor="text1"/>
          <w:sz w:val="20"/>
          <w:lang w:val="en-GB"/>
        </w:rPr>
        <w:t xml:space="preserve">, M-C. (2018). </w:t>
      </w:r>
      <w:r w:rsidRPr="004E0A51">
        <w:rPr>
          <w:rFonts w:ascii="Gulliver-Regular" w:hAnsi="Gulliver-Regular"/>
          <w:i/>
          <w:iCs/>
          <w:color w:val="000000" w:themeColor="text1"/>
          <w:sz w:val="20"/>
          <w:lang w:val="en-GB"/>
        </w:rPr>
        <w:t>Value Added Tax Fraud</w:t>
      </w:r>
      <w:r w:rsidRPr="004E0A51">
        <w:rPr>
          <w:rFonts w:ascii="Gulliver-Regular" w:hAnsi="Gulliver-Regular"/>
          <w:color w:val="000000" w:themeColor="text1"/>
          <w:sz w:val="20"/>
          <w:lang w:val="en-GB"/>
        </w:rPr>
        <w:t xml:space="preserve">. New York: Routledge. </w:t>
      </w:r>
      <w:hyperlink r:id="rId22" w:tgtFrame="_blank" w:history="1">
        <w:r w:rsidRPr="004E0A51">
          <w:rPr>
            <w:rStyle w:val="Hyperlink"/>
            <w:rFonts w:ascii="Gulliver-Regular" w:hAnsi="Gulliver-Regular" w:cs="Open Sans"/>
            <w:color w:val="000000" w:themeColor="text1"/>
            <w:spacing w:val="5"/>
            <w:sz w:val="20"/>
            <w:u w:val="none"/>
            <w:shd w:val="clear" w:color="auto" w:fill="FFFFFF"/>
          </w:rPr>
          <w:t>https://doi.org/10.4324/9781315098722</w:t>
        </w:r>
      </w:hyperlink>
    </w:p>
    <w:p w14:paraId="3FC19B16"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Hanousek</w:t>
      </w:r>
      <w:proofErr w:type="spellEnd"/>
      <w:r w:rsidRPr="004E0A51">
        <w:rPr>
          <w:rFonts w:ascii="Gulliver-Regular" w:hAnsi="Gulliver-Regular"/>
          <w:color w:val="000000" w:themeColor="text1"/>
          <w:sz w:val="20"/>
          <w:lang w:val="en-GB"/>
        </w:rPr>
        <w:t xml:space="preserve">, J., &amp; </w:t>
      </w:r>
      <w:proofErr w:type="spellStart"/>
      <w:r w:rsidRPr="004E0A51">
        <w:rPr>
          <w:rFonts w:ascii="Gulliver-Regular" w:hAnsi="Gulliver-Regular"/>
          <w:color w:val="000000" w:themeColor="text1"/>
          <w:sz w:val="20"/>
          <w:lang w:val="en-GB"/>
        </w:rPr>
        <w:t>Palda</w:t>
      </w:r>
      <w:proofErr w:type="spellEnd"/>
      <w:r w:rsidRPr="004E0A51">
        <w:rPr>
          <w:rFonts w:ascii="Gulliver-Regular" w:hAnsi="Gulliver-Regular"/>
          <w:color w:val="000000" w:themeColor="text1"/>
          <w:sz w:val="20"/>
          <w:lang w:val="en-GB"/>
        </w:rPr>
        <w:t xml:space="preserve">, F. (2004). Quality of Government Services and the Civic Duty to Pay Taxes in the Czech and Slovak Republics, and Other Transition Countries. </w:t>
      </w:r>
      <w:proofErr w:type="spellStart"/>
      <w:r w:rsidRPr="004E0A51">
        <w:rPr>
          <w:rStyle w:val="Hyperlink"/>
          <w:rFonts w:ascii="Gulliver-Regular" w:hAnsi="Gulliver-Regular"/>
          <w:i/>
          <w:iCs/>
          <w:color w:val="000000" w:themeColor="text1"/>
          <w:sz w:val="20"/>
          <w:u w:val="none"/>
          <w:shd w:val="clear" w:color="auto" w:fill="FFFFFF"/>
          <w:lang w:val="en-GB"/>
        </w:rPr>
        <w:t>Kyklos</w:t>
      </w:r>
      <w:proofErr w:type="spellEnd"/>
      <w:r w:rsidRPr="004E0A51">
        <w:rPr>
          <w:rStyle w:val="Hyperlink"/>
          <w:rFonts w:ascii="Gulliver-Regular" w:hAnsi="Gulliver-Regular"/>
          <w:i/>
          <w:iCs/>
          <w:color w:val="000000" w:themeColor="text1"/>
          <w:sz w:val="20"/>
          <w:u w:val="none"/>
          <w:shd w:val="clear" w:color="auto" w:fill="FFFFFF"/>
          <w:lang w:val="en-GB"/>
        </w:rPr>
        <w:t>,</w:t>
      </w:r>
      <w:r w:rsidRPr="004E0A51">
        <w:rPr>
          <w:rStyle w:val="Hyperlink"/>
          <w:rFonts w:ascii="Gulliver-Regular" w:hAnsi="Gulliver-Regular"/>
          <w:i/>
          <w:color w:val="000000" w:themeColor="text1"/>
          <w:sz w:val="20"/>
          <w:u w:val="none"/>
          <w:shd w:val="clear" w:color="auto" w:fill="FFFFFF"/>
          <w:lang w:val="en-GB"/>
        </w:rPr>
        <w:t xml:space="preserve"> </w:t>
      </w:r>
      <w:r w:rsidRPr="004E0A51">
        <w:rPr>
          <w:rFonts w:ascii="Gulliver-Regular" w:hAnsi="Gulliver-Regular"/>
          <w:i/>
          <w:color w:val="000000" w:themeColor="text1"/>
          <w:sz w:val="20"/>
          <w:shd w:val="clear" w:color="auto" w:fill="FFFFFF"/>
          <w:lang w:val="en-GB"/>
        </w:rPr>
        <w:t>57</w:t>
      </w:r>
      <w:r w:rsidRPr="004E0A51">
        <w:rPr>
          <w:rFonts w:ascii="Gulliver-Regular" w:hAnsi="Gulliver-Regular"/>
          <w:iCs/>
          <w:color w:val="000000" w:themeColor="text1"/>
          <w:sz w:val="20"/>
          <w:shd w:val="clear" w:color="auto" w:fill="FFFFFF"/>
          <w:lang w:val="en-GB"/>
        </w:rPr>
        <w:t>(</w:t>
      </w:r>
      <w:r w:rsidRPr="004E0A51">
        <w:rPr>
          <w:rFonts w:ascii="Gulliver-Regular" w:hAnsi="Gulliver-Regular"/>
          <w:color w:val="000000" w:themeColor="text1"/>
          <w:sz w:val="20"/>
          <w:shd w:val="clear" w:color="auto" w:fill="FFFFFF"/>
          <w:lang w:val="en-GB"/>
        </w:rPr>
        <w:t>2), 237</w:t>
      </w:r>
      <w:r w:rsidRPr="004E0A51">
        <w:rPr>
          <w:rFonts w:ascii="Gulliver-Regular" w:hAnsi="Gulliver-Regular"/>
          <w:color w:val="000000" w:themeColor="text1"/>
          <w:sz w:val="20"/>
          <w:lang w:val="en-GB"/>
        </w:rPr>
        <w:t>–</w:t>
      </w:r>
      <w:r w:rsidRPr="004E0A51">
        <w:rPr>
          <w:rFonts w:ascii="Gulliver-Regular" w:hAnsi="Gulliver-Regular"/>
          <w:color w:val="000000" w:themeColor="text1"/>
          <w:sz w:val="20"/>
          <w:shd w:val="clear" w:color="auto" w:fill="FFFFFF"/>
          <w:lang w:val="en-GB"/>
        </w:rPr>
        <w:t>252.</w:t>
      </w:r>
      <w:r w:rsidRPr="004E0A51">
        <w:rPr>
          <w:rFonts w:ascii="Gulliver-Regular" w:hAnsi="Gulliver-Regular"/>
          <w:color w:val="000000" w:themeColor="text1"/>
          <w:sz w:val="20"/>
          <w:lang w:val="en-GB"/>
        </w:rPr>
        <w:t xml:space="preserve"> </w:t>
      </w:r>
    </w:p>
    <w:p w14:paraId="016764A7" w14:textId="77777777" w:rsidR="004E0A51" w:rsidRPr="004E0A51" w:rsidRDefault="004E0A51" w:rsidP="004E0A51">
      <w:pPr>
        <w:pStyle w:val="MDPI71References"/>
        <w:numPr>
          <w:ilvl w:val="0"/>
          <w:numId w:val="0"/>
        </w:numPr>
        <w:spacing w:before="60" w:after="60" w:line="240" w:lineRule="auto"/>
        <w:ind w:left="360" w:hanging="360"/>
        <w:jc w:val="left"/>
        <w:rPr>
          <w:rStyle w:val="title-text"/>
          <w:color w:val="000000" w:themeColor="text1"/>
          <w:lang w:val="en-GB"/>
        </w:rPr>
      </w:pPr>
      <w:bookmarkStart w:id="8" w:name="_Hlk98225255"/>
      <w:proofErr w:type="spellStart"/>
      <w:r w:rsidRPr="004E0A51">
        <w:rPr>
          <w:rStyle w:val="title-text"/>
          <w:rFonts w:ascii="Gulliver-Regular" w:hAnsi="Gulliver-Regular"/>
          <w:color w:val="000000" w:themeColor="text1"/>
          <w:sz w:val="20"/>
          <w:lang w:val="en-GB"/>
        </w:rPr>
        <w:t>Horodnic</w:t>
      </w:r>
      <w:proofErr w:type="spellEnd"/>
      <w:r w:rsidRPr="004E0A51">
        <w:rPr>
          <w:rStyle w:val="title-text"/>
          <w:rFonts w:ascii="Gulliver-Regular" w:hAnsi="Gulliver-Regular"/>
          <w:color w:val="000000" w:themeColor="text1"/>
          <w:sz w:val="20"/>
          <w:lang w:val="en-GB"/>
        </w:rPr>
        <w:t xml:space="preserve">, I. A. (2018). </w:t>
      </w:r>
      <w:bookmarkEnd w:id="8"/>
      <w:r w:rsidRPr="004E0A51">
        <w:rPr>
          <w:rStyle w:val="title-text"/>
          <w:rFonts w:ascii="Gulliver-Regular" w:hAnsi="Gulliver-Regular"/>
          <w:color w:val="000000" w:themeColor="text1"/>
          <w:sz w:val="20"/>
          <w:lang w:val="en-GB"/>
        </w:rPr>
        <w:t xml:space="preserve">Tax morale and institutional theory: a systematic review. </w:t>
      </w:r>
      <w:r w:rsidRPr="004E0A51">
        <w:rPr>
          <w:rStyle w:val="title-text"/>
          <w:rFonts w:ascii="Gulliver-Regular" w:hAnsi="Gulliver-Regular"/>
          <w:i/>
          <w:iCs/>
          <w:color w:val="000000" w:themeColor="text1"/>
          <w:sz w:val="20"/>
          <w:lang w:val="en-GB"/>
        </w:rPr>
        <w:t>International Journal of Sociology and Social Policy, 38</w:t>
      </w:r>
      <w:r w:rsidRPr="004E0A51">
        <w:rPr>
          <w:rStyle w:val="title-text"/>
          <w:rFonts w:ascii="Gulliver-Regular" w:hAnsi="Gulliver-Regular"/>
          <w:color w:val="000000" w:themeColor="text1"/>
          <w:sz w:val="20"/>
          <w:lang w:val="en-GB"/>
        </w:rPr>
        <w:t xml:space="preserve">(9/10), 868-886. </w:t>
      </w:r>
      <w:r w:rsidRPr="004E0A51">
        <w:rPr>
          <w:rFonts w:ascii="Gulliver-Regular" w:hAnsi="Gulliver-Regular"/>
          <w:color w:val="000000" w:themeColor="text1"/>
          <w:sz w:val="20"/>
          <w:lang w:val="en-GB"/>
        </w:rPr>
        <w:t>DOI 10.1108/IJSSP-03-2018-0039</w:t>
      </w:r>
    </w:p>
    <w:p w14:paraId="768CFCFB" w14:textId="77777777" w:rsidR="004E0A51" w:rsidRPr="004E0A51" w:rsidRDefault="004E0A51" w:rsidP="004E0A51">
      <w:pPr>
        <w:pStyle w:val="MDPI71References"/>
        <w:numPr>
          <w:ilvl w:val="0"/>
          <w:numId w:val="0"/>
        </w:numPr>
        <w:spacing w:before="60" w:after="60" w:line="240" w:lineRule="auto"/>
        <w:ind w:left="360" w:hanging="360"/>
        <w:jc w:val="left"/>
        <w:rPr>
          <w:color w:val="000000" w:themeColor="text1"/>
        </w:rPr>
      </w:pPr>
      <w:r w:rsidRPr="004E0A51">
        <w:rPr>
          <w:rFonts w:ascii="Gulliver-Regular" w:hAnsi="Gulliver-Regular"/>
          <w:color w:val="000000" w:themeColor="text1"/>
          <w:sz w:val="20"/>
          <w:lang w:val="en-GB"/>
        </w:rPr>
        <w:t xml:space="preserve">Hug, S., &amp; </w:t>
      </w:r>
      <w:proofErr w:type="spellStart"/>
      <w:r w:rsidRPr="004E0A51">
        <w:rPr>
          <w:rFonts w:ascii="Gulliver-Regular" w:hAnsi="Gulliver-Regular"/>
          <w:color w:val="000000" w:themeColor="text1"/>
          <w:sz w:val="20"/>
          <w:lang w:val="en-GB"/>
        </w:rPr>
        <w:t>Spörri</w:t>
      </w:r>
      <w:proofErr w:type="spellEnd"/>
      <w:r w:rsidRPr="004E0A51">
        <w:rPr>
          <w:rFonts w:ascii="Gulliver-Regular" w:hAnsi="Gulliver-Regular"/>
          <w:color w:val="000000" w:themeColor="text1"/>
          <w:sz w:val="20"/>
          <w:lang w:val="en-GB"/>
        </w:rPr>
        <w:t xml:space="preserve">, F. (2011). Referendums, trust, and tax evasion. </w:t>
      </w:r>
      <w:r w:rsidRPr="004E0A51">
        <w:rPr>
          <w:rFonts w:ascii="Gulliver-Regular" w:hAnsi="Gulliver-Regular"/>
          <w:i/>
          <w:iCs/>
          <w:color w:val="000000" w:themeColor="text1"/>
          <w:sz w:val="20"/>
          <w:lang w:val="en-GB"/>
        </w:rPr>
        <w:t>European Journal of Political Economy, 27</w:t>
      </w:r>
      <w:r w:rsidRPr="004E0A51">
        <w:rPr>
          <w:rFonts w:ascii="Gulliver-Regular" w:hAnsi="Gulliver-Regular"/>
          <w:color w:val="000000" w:themeColor="text1"/>
          <w:sz w:val="20"/>
          <w:lang w:val="en-GB"/>
        </w:rPr>
        <w:t>(1), 120-131. DOI:10.1016/j.ejpoleco.2010.06.005</w:t>
      </w:r>
    </w:p>
    <w:p w14:paraId="19D230BC"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Chan, H.F., </w:t>
      </w:r>
      <w:proofErr w:type="spellStart"/>
      <w:r w:rsidRPr="004E0A51">
        <w:rPr>
          <w:rFonts w:ascii="Gulliver-Regular" w:hAnsi="Gulliver-Regular"/>
          <w:color w:val="000000" w:themeColor="text1"/>
          <w:sz w:val="20"/>
          <w:lang w:val="en-GB"/>
        </w:rPr>
        <w:t>Supriyadi</w:t>
      </w:r>
      <w:proofErr w:type="spellEnd"/>
      <w:r w:rsidRPr="004E0A51">
        <w:rPr>
          <w:rFonts w:ascii="Gulliver-Regular" w:hAnsi="Gulliver-Regular"/>
          <w:color w:val="000000" w:themeColor="text1"/>
          <w:sz w:val="20"/>
          <w:lang w:val="en-GB"/>
        </w:rPr>
        <w:t xml:space="preserve">, M.W., &amp; </w:t>
      </w:r>
      <w:proofErr w:type="spellStart"/>
      <w:r w:rsidRPr="004E0A51">
        <w:rPr>
          <w:rFonts w:ascii="Gulliver-Regular" w:hAnsi="Gulliver-Regular"/>
          <w:color w:val="000000" w:themeColor="text1"/>
          <w:sz w:val="20"/>
          <w:lang w:val="en-GB"/>
        </w:rPr>
        <w:t>Torgler</w:t>
      </w:r>
      <w:proofErr w:type="spellEnd"/>
      <w:r w:rsidRPr="004E0A51">
        <w:rPr>
          <w:rFonts w:ascii="Gulliver-Regular" w:hAnsi="Gulliver-Regular"/>
          <w:color w:val="000000" w:themeColor="text1"/>
          <w:sz w:val="20"/>
          <w:lang w:val="en-GB"/>
        </w:rPr>
        <w:t xml:space="preserve">, B. (2018). Trust and tax morale. In </w:t>
      </w:r>
      <w:proofErr w:type="spellStart"/>
      <w:r w:rsidRPr="004E0A51">
        <w:rPr>
          <w:rFonts w:ascii="Gulliver-Regular" w:hAnsi="Gulliver-Regular"/>
          <w:color w:val="000000" w:themeColor="text1"/>
          <w:sz w:val="20"/>
          <w:lang w:val="en-GB"/>
        </w:rPr>
        <w:t>Uslaner</w:t>
      </w:r>
      <w:proofErr w:type="spellEnd"/>
      <w:r w:rsidRPr="004E0A51">
        <w:rPr>
          <w:rFonts w:ascii="Gulliver-Regular" w:hAnsi="Gulliver-Regular"/>
          <w:color w:val="000000" w:themeColor="text1"/>
          <w:sz w:val="20"/>
          <w:lang w:val="en-GB"/>
        </w:rPr>
        <w:t xml:space="preserve">, E.M. (Ed.), The Oxford Handbook of Social and Political Trust. (pp. 1-71). Oxford University Press, New York, NY. Retrieved March 8, 2021, from www.oxfordhandbooks.com/view/10.1093/oxfordhb/9780190274801.00 1.0001/oxfordhb-9780190274801-e-23 </w:t>
      </w:r>
    </w:p>
    <w:p w14:paraId="2FA44B94"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i/>
          <w:iCs/>
          <w:color w:val="000000" w:themeColor="text1"/>
          <w:sz w:val="20"/>
          <w:lang w:val="en-GB"/>
        </w:rPr>
      </w:pPr>
      <w:r w:rsidRPr="004E0A51">
        <w:rPr>
          <w:rFonts w:ascii="Gulliver-Regular" w:hAnsi="Gulliver-Regular"/>
          <w:color w:val="000000" w:themeColor="text1"/>
          <w:sz w:val="20"/>
          <w:lang w:val="en-GB"/>
        </w:rPr>
        <w:t xml:space="preserve">Kaufmann, D., </w:t>
      </w:r>
      <w:proofErr w:type="spellStart"/>
      <w:r w:rsidRPr="004E0A51">
        <w:rPr>
          <w:rFonts w:ascii="Gulliver-Regular" w:hAnsi="Gulliver-Regular"/>
          <w:color w:val="000000" w:themeColor="text1"/>
          <w:sz w:val="20"/>
          <w:lang w:val="en-GB"/>
        </w:rPr>
        <w:t>Kraay</w:t>
      </w:r>
      <w:proofErr w:type="spellEnd"/>
      <w:r w:rsidRPr="004E0A51">
        <w:rPr>
          <w:rFonts w:ascii="Gulliver-Regular" w:hAnsi="Gulliver-Regular"/>
          <w:color w:val="000000" w:themeColor="text1"/>
          <w:sz w:val="20"/>
          <w:lang w:val="en-GB"/>
        </w:rPr>
        <w:t xml:space="preserve"> A., </w:t>
      </w:r>
      <w:r w:rsidRPr="004E0A51">
        <w:rPr>
          <w:rFonts w:ascii="Gulliver-Regular" w:hAnsi="Gulliver-Regular"/>
          <w:color w:val="000000" w:themeColor="text1"/>
          <w:sz w:val="20"/>
          <w:lang w:val="en-GB" w:eastAsia="en-US"/>
        </w:rPr>
        <w:t>&amp;</w:t>
      </w:r>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Mastruzzi</w:t>
      </w:r>
      <w:proofErr w:type="spellEnd"/>
      <w:r w:rsidRPr="004E0A51">
        <w:rPr>
          <w:rFonts w:ascii="Gulliver-Regular" w:hAnsi="Gulliver-Regular"/>
          <w:color w:val="000000" w:themeColor="text1"/>
          <w:sz w:val="20"/>
          <w:lang w:val="en-GB"/>
        </w:rPr>
        <w:t xml:space="preserve">, M. (2010). The Worldwide Governance Indicators: A Summary of Methodology, Data and Analytical Issues. </w:t>
      </w:r>
      <w:r w:rsidRPr="004E0A51">
        <w:rPr>
          <w:rFonts w:ascii="Gulliver-Regular" w:hAnsi="Gulliver-Regular"/>
          <w:i/>
          <w:iCs/>
          <w:color w:val="000000" w:themeColor="text1"/>
          <w:sz w:val="20"/>
          <w:lang w:val="en-GB"/>
        </w:rPr>
        <w:t>World Bank Policy Research Working Paper No.  5430.</w:t>
      </w:r>
    </w:p>
    <w:p w14:paraId="4CF437D8"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Kowal, A., &amp; </w:t>
      </w:r>
      <w:proofErr w:type="spellStart"/>
      <w:r w:rsidRPr="004E0A51">
        <w:rPr>
          <w:rFonts w:ascii="Gulliver-Regular" w:hAnsi="Gulliver-Regular"/>
          <w:color w:val="000000" w:themeColor="text1"/>
          <w:sz w:val="20"/>
          <w:lang w:val="en-GB"/>
        </w:rPr>
        <w:t>Przekota</w:t>
      </w:r>
      <w:proofErr w:type="spellEnd"/>
      <w:r w:rsidRPr="004E0A51">
        <w:rPr>
          <w:rFonts w:ascii="Gulliver-Regular" w:hAnsi="Gulliver-Regular"/>
          <w:color w:val="000000" w:themeColor="text1"/>
          <w:sz w:val="20"/>
          <w:lang w:val="en-GB"/>
        </w:rPr>
        <w:t xml:space="preserve">, G. (2021). VAT Efficiency – A Discussion on the VAT System in the European Union. </w:t>
      </w:r>
      <w:r w:rsidRPr="004E0A51">
        <w:rPr>
          <w:rFonts w:ascii="Gulliver-Regular" w:hAnsi="Gulliver-Regular"/>
          <w:i/>
          <w:iCs/>
          <w:color w:val="000000" w:themeColor="text1"/>
          <w:sz w:val="20"/>
          <w:lang w:val="en-GB"/>
        </w:rPr>
        <w:t>Sustainability 13</w:t>
      </w:r>
      <w:r w:rsidRPr="004E0A51">
        <w:rPr>
          <w:rFonts w:ascii="Gulliver-Regular" w:hAnsi="Gulliver-Regular"/>
          <w:color w:val="000000" w:themeColor="text1"/>
          <w:sz w:val="20"/>
          <w:lang w:val="en-GB"/>
        </w:rPr>
        <w:t xml:space="preserve">(9), 4768. </w:t>
      </w:r>
    </w:p>
    <w:p w14:paraId="500F3375" w14:textId="77777777" w:rsidR="004E0A51" w:rsidRPr="004E0A51" w:rsidRDefault="004E0A51" w:rsidP="004E0A51">
      <w:pPr>
        <w:pStyle w:val="MDPI71References"/>
        <w:numPr>
          <w:ilvl w:val="0"/>
          <w:numId w:val="0"/>
        </w:numPr>
        <w:spacing w:before="60" w:after="60" w:line="240" w:lineRule="auto"/>
        <w:ind w:left="360" w:hanging="360"/>
        <w:jc w:val="left"/>
        <w:rPr>
          <w:rStyle w:val="Hyperlink"/>
          <w:color w:val="000000" w:themeColor="text1"/>
          <w:u w:val="none"/>
        </w:rPr>
      </w:pPr>
      <w:r w:rsidRPr="004E0A51">
        <w:rPr>
          <w:rFonts w:ascii="Gulliver-Regular" w:hAnsi="Gulliver-Regular"/>
          <w:color w:val="000000" w:themeColor="text1"/>
          <w:sz w:val="20"/>
        </w:rPr>
        <w:t xml:space="preserve">KPMG. (2021). VAT reverse-charge for employee leasing services limited to construction projects. Retrieved November 28, 2021, from  </w:t>
      </w:r>
      <w:hyperlink r:id="rId23" w:history="1">
        <w:r w:rsidRPr="004E0A51">
          <w:rPr>
            <w:rStyle w:val="Hyperlink"/>
            <w:rFonts w:ascii="Gulliver-Regular" w:hAnsi="Gulliver-Regular"/>
            <w:color w:val="000000" w:themeColor="text1"/>
            <w:sz w:val="20"/>
            <w:u w:val="none"/>
          </w:rPr>
          <w:t>https://home.kpmg/us/en/home/insights/2021/03/tnf-hungary-vat-reverse-charge-for-employee-leasing-services-limited-to-construction-projects.html</w:t>
        </w:r>
      </w:hyperlink>
    </w:p>
    <w:p w14:paraId="7235EF1C" w14:textId="77777777" w:rsidR="004E0A51" w:rsidRPr="004E0A51" w:rsidRDefault="004E0A51" w:rsidP="004E0A51">
      <w:pPr>
        <w:pStyle w:val="MDPI71References"/>
        <w:numPr>
          <w:ilvl w:val="0"/>
          <w:numId w:val="0"/>
        </w:numPr>
        <w:spacing w:before="60" w:after="60" w:line="240" w:lineRule="auto"/>
        <w:ind w:left="360" w:hanging="360"/>
        <w:jc w:val="left"/>
        <w:rPr>
          <w:color w:val="000000" w:themeColor="text1"/>
        </w:rPr>
      </w:pPr>
      <w:r w:rsidRPr="004E0A51">
        <w:rPr>
          <w:rFonts w:ascii="Gulliver-Regular" w:hAnsi="Gulliver-Regular"/>
          <w:color w:val="000000" w:themeColor="text1"/>
          <w:sz w:val="20"/>
        </w:rPr>
        <w:t>Lago-</w:t>
      </w:r>
      <w:proofErr w:type="spellStart"/>
      <w:r w:rsidRPr="004E0A51">
        <w:rPr>
          <w:rFonts w:ascii="Gulliver-Regular" w:hAnsi="Gulliver-Regular"/>
          <w:color w:val="000000" w:themeColor="text1"/>
          <w:sz w:val="20"/>
        </w:rPr>
        <w:t>Peñas</w:t>
      </w:r>
      <w:proofErr w:type="spellEnd"/>
      <w:r w:rsidRPr="004E0A51">
        <w:rPr>
          <w:rFonts w:ascii="Gulliver-Regular" w:hAnsi="Gulliver-Regular"/>
          <w:color w:val="000000" w:themeColor="text1"/>
          <w:sz w:val="20"/>
        </w:rPr>
        <w:t xml:space="preserve">, I., </w:t>
      </w:r>
      <w:r w:rsidRPr="004E0A51">
        <w:rPr>
          <w:rFonts w:ascii="Gulliver-Regular" w:hAnsi="Gulliver-Regular" w:cstheme="minorHAnsi"/>
          <w:color w:val="000000" w:themeColor="text1"/>
          <w:sz w:val="20"/>
        </w:rPr>
        <w:t>&amp;</w:t>
      </w:r>
      <w:r w:rsidRPr="004E0A51">
        <w:rPr>
          <w:rFonts w:ascii="Gulliver-Regular" w:hAnsi="Gulliver-Regular"/>
          <w:color w:val="000000" w:themeColor="text1"/>
          <w:sz w:val="20"/>
        </w:rPr>
        <w:t xml:space="preserve"> Lago-</w:t>
      </w:r>
      <w:proofErr w:type="spellStart"/>
      <w:r w:rsidRPr="004E0A51">
        <w:rPr>
          <w:rFonts w:ascii="Gulliver-Regular" w:hAnsi="Gulliver-Regular"/>
          <w:color w:val="000000" w:themeColor="text1"/>
          <w:sz w:val="20"/>
        </w:rPr>
        <w:t>Peñas</w:t>
      </w:r>
      <w:proofErr w:type="spellEnd"/>
      <w:r w:rsidRPr="004E0A51">
        <w:rPr>
          <w:rFonts w:ascii="Gulliver-Regular" w:hAnsi="Gulliver-Regular"/>
          <w:color w:val="000000" w:themeColor="text1"/>
          <w:sz w:val="20"/>
        </w:rPr>
        <w:t xml:space="preserve">, S. (2010). The determinants of tax morale in comparative perspective: Evidence from European countries, </w:t>
      </w:r>
      <w:r w:rsidRPr="004E0A51">
        <w:rPr>
          <w:rFonts w:ascii="Gulliver-Regular" w:hAnsi="Gulliver-Regular" w:cs="TimesNewRomanPS-ItalicMT"/>
          <w:i/>
          <w:iCs/>
          <w:color w:val="000000" w:themeColor="text1"/>
          <w:sz w:val="20"/>
        </w:rPr>
        <w:t>European Journal of Political Economy</w:t>
      </w:r>
      <w:r w:rsidRPr="004E0A51">
        <w:rPr>
          <w:rFonts w:ascii="Gulliver-Regular" w:hAnsi="Gulliver-Regular"/>
          <w:i/>
          <w:iCs/>
          <w:color w:val="000000" w:themeColor="text1"/>
          <w:sz w:val="20"/>
        </w:rPr>
        <w:t>, 26 (3),</w:t>
      </w:r>
      <w:r w:rsidRPr="004E0A51">
        <w:rPr>
          <w:rFonts w:ascii="Gulliver-Regular" w:hAnsi="Gulliver-Regular"/>
          <w:color w:val="000000" w:themeColor="text1"/>
          <w:sz w:val="20"/>
        </w:rPr>
        <w:t xml:space="preserve"> 441-453. Doi: </w:t>
      </w:r>
      <w:hyperlink r:id="rId24" w:history="1">
        <w:r w:rsidRPr="004E0A51">
          <w:rPr>
            <w:rStyle w:val="Hyperlink"/>
            <w:rFonts w:ascii="Gulliver-Regular" w:hAnsi="Gulliver-Regular" w:cs="Arial"/>
            <w:color w:val="000000" w:themeColor="text1"/>
            <w:sz w:val="20"/>
            <w:u w:val="none"/>
          </w:rPr>
          <w:t>https://doi.org/10.1016/j.ejpoleco.2010.06.003</w:t>
        </w:r>
      </w:hyperlink>
    </w:p>
    <w:p w14:paraId="1A22FCAF"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bCs/>
          <w:color w:val="000000" w:themeColor="text1"/>
          <w:sz w:val="20"/>
          <w:lang w:val="en-GB"/>
        </w:rPr>
      </w:pPr>
      <w:r w:rsidRPr="004E0A51">
        <w:rPr>
          <w:rFonts w:ascii="Gulliver-Regular" w:hAnsi="Gulliver-Regular"/>
          <w:bCs/>
          <w:color w:val="000000" w:themeColor="text1"/>
          <w:sz w:val="20"/>
          <w:lang w:val="en-GB"/>
        </w:rPr>
        <w:t xml:space="preserve">Lazar, S., </w:t>
      </w:r>
      <w:proofErr w:type="spellStart"/>
      <w:r w:rsidRPr="004E0A51">
        <w:rPr>
          <w:rFonts w:ascii="Gulliver-Regular" w:hAnsi="Gulliver-Regular"/>
          <w:bCs/>
          <w:color w:val="000000" w:themeColor="text1"/>
          <w:sz w:val="20"/>
          <w:lang w:val="en-GB"/>
        </w:rPr>
        <w:t>Zugravu</w:t>
      </w:r>
      <w:proofErr w:type="spellEnd"/>
      <w:r w:rsidRPr="004E0A51">
        <w:rPr>
          <w:rFonts w:ascii="Gulliver-Regular" w:hAnsi="Gulliver-Regular"/>
          <w:bCs/>
          <w:color w:val="000000" w:themeColor="text1"/>
          <w:sz w:val="20"/>
          <w:lang w:val="en-GB"/>
        </w:rPr>
        <w:t xml:space="preserve">, B. G., </w:t>
      </w:r>
      <w:r w:rsidRPr="004E0A51">
        <w:rPr>
          <w:rFonts w:ascii="Gulliver-Regular" w:hAnsi="Gulliver-Regular"/>
          <w:color w:val="000000" w:themeColor="text1"/>
          <w:sz w:val="20"/>
          <w:lang w:val="en-GB"/>
        </w:rPr>
        <w:t>&amp;</w:t>
      </w:r>
      <w:r w:rsidRPr="004E0A51">
        <w:rPr>
          <w:rFonts w:ascii="Gulliver-Regular" w:hAnsi="Gulliver-Regular"/>
          <w:bCs/>
          <w:color w:val="000000" w:themeColor="text1"/>
          <w:sz w:val="20"/>
          <w:lang w:val="en-GB"/>
        </w:rPr>
        <w:t xml:space="preserve"> </w:t>
      </w:r>
      <w:proofErr w:type="spellStart"/>
      <w:r w:rsidRPr="004E0A51">
        <w:rPr>
          <w:rFonts w:ascii="Gulliver-Regular" w:hAnsi="Gulliver-Regular"/>
          <w:bCs/>
          <w:color w:val="000000" w:themeColor="text1"/>
          <w:sz w:val="20"/>
          <w:lang w:val="en-GB"/>
        </w:rPr>
        <w:t>Dornean</w:t>
      </w:r>
      <w:proofErr w:type="spellEnd"/>
      <w:r w:rsidRPr="004E0A51">
        <w:rPr>
          <w:rFonts w:ascii="Gulliver-Regular" w:hAnsi="Gulliver-Regular"/>
          <w:bCs/>
          <w:color w:val="000000" w:themeColor="text1"/>
          <w:sz w:val="20"/>
          <w:lang w:val="en-GB"/>
        </w:rPr>
        <w:t xml:space="preserve">, A. (2020). Taxes for the People or for the Government? A Global Governance Perspective. </w:t>
      </w:r>
      <w:r w:rsidRPr="004E0A51">
        <w:rPr>
          <w:rFonts w:ascii="Gulliver-Regular" w:hAnsi="Gulliver-Regular"/>
          <w:bCs/>
          <w:i/>
          <w:iCs/>
          <w:color w:val="000000" w:themeColor="text1"/>
          <w:sz w:val="20"/>
          <w:lang w:val="en-GB"/>
        </w:rPr>
        <w:t>Scientific annals of Economics and Business, 67</w:t>
      </w:r>
      <w:r w:rsidRPr="004E0A51">
        <w:rPr>
          <w:rFonts w:ascii="Gulliver-Regular" w:hAnsi="Gulliver-Regular"/>
          <w:bCs/>
          <w:color w:val="000000" w:themeColor="text1"/>
          <w:sz w:val="20"/>
          <w:lang w:val="en-GB"/>
        </w:rPr>
        <w:t xml:space="preserve">(3), 389-407. </w:t>
      </w:r>
    </w:p>
    <w:p w14:paraId="4B4494A0" w14:textId="38ED5591" w:rsidR="004E0A51" w:rsidRPr="004E0A51" w:rsidRDefault="004E0A51" w:rsidP="004E0A51">
      <w:pPr>
        <w:pStyle w:val="FootnoteText"/>
        <w:spacing w:before="60" w:after="60"/>
        <w:ind w:left="360" w:hanging="360"/>
        <w:rPr>
          <w:rFonts w:ascii="Gulliver-Regular" w:hAnsi="Gulliver-Regular" w:cs="Arial"/>
          <w:color w:val="000000" w:themeColor="text1"/>
        </w:rPr>
      </w:pPr>
      <w:r w:rsidRPr="004E0A51">
        <w:rPr>
          <w:rFonts w:ascii="Gulliver-Regular" w:hAnsi="Gulliver-Regular" w:cs="Arial"/>
          <w:color w:val="000000" w:themeColor="text1"/>
        </w:rPr>
        <w:t xml:space="preserve">Li, J. (2018). Protecting the Tax Base in a Digital Economy. </w:t>
      </w:r>
      <w:proofErr w:type="spellStart"/>
      <w:r w:rsidRPr="004E0A51">
        <w:rPr>
          <w:rFonts w:ascii="Gulliver-Regular" w:hAnsi="Gulliver-Regular" w:cs="Arial"/>
          <w:color w:val="000000" w:themeColor="text1"/>
        </w:rPr>
        <w:t>Osgoode</w:t>
      </w:r>
      <w:proofErr w:type="spellEnd"/>
      <w:r w:rsidRPr="004E0A51">
        <w:rPr>
          <w:rFonts w:ascii="Gulliver-Regular" w:hAnsi="Gulliver-Regular" w:cs="Arial"/>
          <w:color w:val="000000" w:themeColor="text1"/>
        </w:rPr>
        <w:t xml:space="preserve"> Legal Studies Research Paper No. 78, Vol. 13/</w:t>
      </w:r>
      <w:proofErr w:type="spellStart"/>
      <w:r w:rsidRPr="004E0A51">
        <w:rPr>
          <w:rFonts w:ascii="Gulliver-Regular" w:hAnsi="Gulliver-Regular" w:cs="Arial"/>
          <w:color w:val="000000" w:themeColor="text1"/>
        </w:rPr>
        <w:t>Iss</w:t>
      </w:r>
      <w:proofErr w:type="spellEnd"/>
      <w:r w:rsidRPr="004E0A51">
        <w:rPr>
          <w:rFonts w:ascii="Gulliver-Regular" w:hAnsi="Gulliver-Regular" w:cs="Arial"/>
          <w:color w:val="000000" w:themeColor="text1"/>
        </w:rPr>
        <w:t xml:space="preserve">. 17. </w:t>
      </w:r>
      <w:r w:rsidRPr="004E0A51">
        <w:rPr>
          <w:rFonts w:ascii="Gulliver-Regular" w:hAnsi="Gulliver-Regular"/>
          <w:i/>
          <w:iCs/>
          <w:color w:val="000000" w:themeColor="text1"/>
          <w:shd w:val="clear" w:color="auto" w:fill="FFFFFF"/>
        </w:rPr>
        <w:t>United Nations Handbook on Selected Issues in Protecting the Tax Base of Developing Countries,</w:t>
      </w:r>
      <w:r w:rsidRPr="004E0A51">
        <w:rPr>
          <w:rFonts w:ascii="Gulliver-Regular" w:hAnsi="Gulliver-Regular"/>
          <w:color w:val="000000" w:themeColor="text1"/>
          <w:shd w:val="clear" w:color="auto" w:fill="FFFFFF"/>
        </w:rPr>
        <w:t xml:space="preserve"> Retrieved November 28, 2021, from </w:t>
      </w:r>
      <w:hyperlink r:id="rId25" w:history="1">
        <w:r w:rsidRPr="004E0A51">
          <w:rPr>
            <w:rStyle w:val="Hyperlink"/>
            <w:rFonts w:ascii="Gulliver-Regular" w:hAnsi="Gulliver-Regular" w:cs="Arial"/>
            <w:color w:val="000000" w:themeColor="text1"/>
            <w:u w:val="none"/>
          </w:rPr>
          <w:t>https://ssrn.com/abstract=3164995</w:t>
        </w:r>
      </w:hyperlink>
    </w:p>
    <w:p w14:paraId="210689CE" w14:textId="77777777" w:rsidR="004E0A51" w:rsidRPr="004E0A51" w:rsidRDefault="004E0A51" w:rsidP="004E0A51">
      <w:pPr>
        <w:pStyle w:val="FootnoteText"/>
        <w:spacing w:before="60" w:after="60"/>
        <w:ind w:left="360" w:hanging="360"/>
        <w:rPr>
          <w:rFonts w:ascii="Gulliver-Regular" w:hAnsi="Gulliver-Regular"/>
          <w:color w:val="000000" w:themeColor="text1"/>
        </w:rPr>
      </w:pPr>
      <w:r w:rsidRPr="004E0A51">
        <w:rPr>
          <w:rFonts w:ascii="Gulliver-Regular" w:hAnsi="Gulliver-Regular"/>
          <w:color w:val="000000" w:themeColor="text1"/>
        </w:rPr>
        <w:t xml:space="preserve">Luca, B. et al. (2013). </w:t>
      </w:r>
      <w:r w:rsidRPr="004E0A51">
        <w:rPr>
          <w:rFonts w:ascii="Gulliver-Regular" w:hAnsi="Gulliver-Regular"/>
          <w:i/>
          <w:iCs/>
          <w:color w:val="000000" w:themeColor="text1"/>
        </w:rPr>
        <w:t>Study to quantify and analyse the VAT Gap in the EU-27 Member States</w:t>
      </w:r>
      <w:r w:rsidRPr="004E0A51">
        <w:rPr>
          <w:rFonts w:ascii="Gulliver-Regular" w:hAnsi="Gulliver-Regular"/>
          <w:color w:val="000000" w:themeColor="text1"/>
        </w:rPr>
        <w:t xml:space="preserve">. CASE Network Reports No. 116/2013. 2013, Warsaw: CASE – Center for Social and Economic Research . </w:t>
      </w:r>
    </w:p>
    <w:p w14:paraId="12E168D9" w14:textId="77777777" w:rsidR="004E0A51" w:rsidRPr="004E0A51" w:rsidRDefault="004E0A51" w:rsidP="004E0A51">
      <w:pPr>
        <w:pStyle w:val="FootnoteText"/>
        <w:spacing w:before="60" w:after="60"/>
        <w:ind w:left="360" w:hanging="360"/>
        <w:rPr>
          <w:rFonts w:ascii="Gulliver-Regular" w:hAnsi="Gulliver-Regular"/>
          <w:color w:val="000000" w:themeColor="text1"/>
        </w:rPr>
      </w:pPr>
      <w:r w:rsidRPr="004E0A51">
        <w:rPr>
          <w:rFonts w:ascii="Gulliver-Regular" w:hAnsi="Gulliver-Regular"/>
          <w:color w:val="000000" w:themeColor="text1"/>
        </w:rPr>
        <w:t xml:space="preserve">Montenegro, T. M. (2021). Tax Evasion, Corporate Social </w:t>
      </w:r>
      <w:proofErr w:type="gramStart"/>
      <w:r w:rsidRPr="004E0A51">
        <w:rPr>
          <w:rFonts w:ascii="Gulliver-Regular" w:hAnsi="Gulliver-Regular"/>
          <w:color w:val="000000" w:themeColor="text1"/>
        </w:rPr>
        <w:t>responsibility</w:t>
      </w:r>
      <w:proofErr w:type="gramEnd"/>
      <w:r w:rsidRPr="004E0A51">
        <w:rPr>
          <w:rFonts w:ascii="Gulliver-Regular" w:hAnsi="Gulliver-Regular"/>
          <w:color w:val="000000" w:themeColor="text1"/>
        </w:rPr>
        <w:t xml:space="preserve"> and National Governance: A Country-Level Study, </w:t>
      </w:r>
      <w:r w:rsidRPr="004E0A51">
        <w:rPr>
          <w:rFonts w:ascii="Gulliver-Regular" w:hAnsi="Gulliver-Regular"/>
          <w:i/>
          <w:iCs/>
          <w:color w:val="000000" w:themeColor="text1"/>
        </w:rPr>
        <w:t>Sustainability, 13(20),</w:t>
      </w:r>
      <w:r w:rsidRPr="004E0A51">
        <w:rPr>
          <w:rFonts w:ascii="Gulliver-Regular" w:hAnsi="Gulliver-Regular"/>
          <w:color w:val="000000" w:themeColor="text1"/>
        </w:rPr>
        <w:t xml:space="preserve"> 11166. Doi: </w:t>
      </w:r>
      <w:hyperlink r:id="rId26" w:history="1">
        <w:r w:rsidRPr="004E0A51">
          <w:rPr>
            <w:rStyle w:val="Hyperlink"/>
            <w:rFonts w:ascii="Gulliver-Regular" w:hAnsi="Gulliver-Regular" w:cs="Arial"/>
            <w:color w:val="000000" w:themeColor="text1"/>
            <w:u w:val="none"/>
            <w:shd w:val="clear" w:color="auto" w:fill="FFFFFF"/>
          </w:rPr>
          <w:t>https://doi.org/10.3390/su132011166</w:t>
        </w:r>
      </w:hyperlink>
    </w:p>
    <w:p w14:paraId="6C800B78"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bCs/>
          <w:color w:val="000000" w:themeColor="text1"/>
          <w:sz w:val="20"/>
          <w:lang w:val="en-GB"/>
        </w:rPr>
      </w:pPr>
      <w:proofErr w:type="spellStart"/>
      <w:r w:rsidRPr="004E0A51">
        <w:rPr>
          <w:rFonts w:ascii="Gulliver-Regular" w:hAnsi="Gulliver-Regular"/>
          <w:color w:val="000000" w:themeColor="text1"/>
          <w:sz w:val="20"/>
        </w:rPr>
        <w:t>Mungiu-Pippidi</w:t>
      </w:r>
      <w:proofErr w:type="spellEnd"/>
      <w:r w:rsidRPr="004E0A51">
        <w:rPr>
          <w:rFonts w:ascii="Gulliver-Regular" w:hAnsi="Gulliver-Regular"/>
          <w:color w:val="000000" w:themeColor="text1"/>
          <w:sz w:val="20"/>
        </w:rPr>
        <w:t xml:space="preserve">, A., &amp; </w:t>
      </w:r>
      <w:proofErr w:type="spellStart"/>
      <w:r w:rsidRPr="004E0A51">
        <w:rPr>
          <w:rFonts w:ascii="Gulliver-Regular" w:hAnsi="Gulliver-Regular"/>
          <w:color w:val="000000" w:themeColor="text1"/>
          <w:sz w:val="20"/>
        </w:rPr>
        <w:t>Kukutschka</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R.M.B</w:t>
      </w:r>
      <w:proofErr w:type="spellEnd"/>
      <w:r w:rsidRPr="004E0A51">
        <w:rPr>
          <w:rFonts w:ascii="Gulliver-Regular" w:hAnsi="Gulliver-Regular"/>
          <w:color w:val="000000" w:themeColor="text1"/>
          <w:sz w:val="20"/>
        </w:rPr>
        <w:t xml:space="preserve">. (2013). </w:t>
      </w:r>
      <w:proofErr w:type="spellStart"/>
      <w:r w:rsidRPr="004E0A51">
        <w:rPr>
          <w:rFonts w:ascii="Gulliver-Regular" w:hAnsi="Gulliver-Regular"/>
          <w:color w:val="000000" w:themeColor="text1"/>
          <w:sz w:val="20"/>
        </w:rPr>
        <w:t>Antikorup</w:t>
      </w:r>
      <w:r w:rsidRPr="004E0A51">
        <w:rPr>
          <w:rFonts w:ascii="Cambria" w:hAnsi="Cambria" w:cs="Cambria"/>
          <w:color w:val="000000" w:themeColor="text1"/>
          <w:sz w:val="20"/>
        </w:rPr>
        <w:t>č</w:t>
      </w:r>
      <w:r w:rsidRPr="004E0A51">
        <w:rPr>
          <w:rFonts w:ascii="Gulliver-Regular" w:hAnsi="Gulliver-Regular"/>
          <w:color w:val="000000" w:themeColor="text1"/>
          <w:sz w:val="20"/>
        </w:rPr>
        <w:t>n</w:t>
      </w:r>
      <w:r w:rsidRPr="004E0A51">
        <w:rPr>
          <w:rFonts w:ascii="Gulliver-Regular" w:hAnsi="Gulliver-Regular" w:cs="Gulliver-Regular"/>
          <w:color w:val="000000" w:themeColor="text1"/>
          <w:sz w:val="20"/>
        </w:rPr>
        <w:t>á</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spr</w:t>
      </w:r>
      <w:r w:rsidRPr="004E0A51">
        <w:rPr>
          <w:rFonts w:ascii="Gulliver-Regular" w:hAnsi="Gulliver-Regular" w:cs="Gulliver-Regular"/>
          <w:color w:val="000000" w:themeColor="text1"/>
          <w:sz w:val="20"/>
        </w:rPr>
        <w:t>á</w:t>
      </w:r>
      <w:r w:rsidRPr="004E0A51">
        <w:rPr>
          <w:rFonts w:ascii="Gulliver-Regular" w:hAnsi="Gulliver-Regular"/>
          <w:color w:val="000000" w:themeColor="text1"/>
          <w:sz w:val="20"/>
        </w:rPr>
        <w:t>va</w:t>
      </w:r>
      <w:proofErr w:type="spellEnd"/>
      <w:r w:rsidRPr="004E0A51">
        <w:rPr>
          <w:rFonts w:ascii="Gulliver-Regular" w:hAnsi="Gulliver-Regular"/>
          <w:color w:val="000000" w:themeColor="text1"/>
          <w:sz w:val="20"/>
        </w:rPr>
        <w:t xml:space="preserve">, </w:t>
      </w:r>
      <w:r w:rsidRPr="004E0A51">
        <w:rPr>
          <w:rFonts w:ascii="Gulliver-Regular" w:hAnsi="Gulliver-Regular"/>
          <w:i/>
          <w:iCs/>
          <w:color w:val="000000" w:themeColor="text1"/>
          <w:sz w:val="20"/>
        </w:rPr>
        <w:t xml:space="preserve">1, </w:t>
      </w:r>
      <w:r w:rsidRPr="004E0A51">
        <w:rPr>
          <w:rFonts w:ascii="Gulliver-Regular" w:hAnsi="Gulliver-Regular"/>
          <w:color w:val="000000" w:themeColor="text1"/>
          <w:sz w:val="20"/>
        </w:rPr>
        <w:t>1-22.</w:t>
      </w:r>
    </w:p>
    <w:p w14:paraId="0744F51B" w14:textId="77777777" w:rsidR="004E0A51" w:rsidRPr="004E0A51" w:rsidRDefault="004E0A51" w:rsidP="004E0A51">
      <w:pPr>
        <w:pStyle w:val="MDPI71References"/>
        <w:numPr>
          <w:ilvl w:val="0"/>
          <w:numId w:val="0"/>
        </w:numPr>
        <w:spacing w:before="60" w:after="60" w:line="240" w:lineRule="auto"/>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shd w:val="clear" w:color="auto" w:fill="FFFFFF"/>
          <w:lang w:val="en-GB"/>
        </w:rPr>
        <w:t xml:space="preserve">Newman, W., </w:t>
      </w:r>
      <w:proofErr w:type="spellStart"/>
      <w:r w:rsidRPr="004E0A51">
        <w:rPr>
          <w:rFonts w:ascii="Gulliver-Regular" w:hAnsi="Gulliver-Regular"/>
          <w:color w:val="000000" w:themeColor="text1"/>
          <w:sz w:val="20"/>
          <w:shd w:val="clear" w:color="auto" w:fill="FFFFFF"/>
          <w:lang w:val="en-GB"/>
        </w:rPr>
        <w:t>Mwandambira</w:t>
      </w:r>
      <w:proofErr w:type="spellEnd"/>
      <w:r w:rsidRPr="004E0A51">
        <w:rPr>
          <w:rFonts w:ascii="Gulliver-Regular" w:hAnsi="Gulliver-Regular"/>
          <w:color w:val="000000" w:themeColor="text1"/>
          <w:sz w:val="20"/>
          <w:shd w:val="clear" w:color="auto" w:fill="FFFFFF"/>
          <w:lang w:val="en-GB"/>
        </w:rPr>
        <w:t xml:space="preserve">, N., Charity, M., </w:t>
      </w:r>
      <w:r w:rsidRPr="004E0A51">
        <w:rPr>
          <w:rFonts w:ascii="Gulliver-Regular" w:hAnsi="Gulliver-Regular"/>
          <w:color w:val="000000" w:themeColor="text1"/>
          <w:sz w:val="20"/>
          <w:lang w:val="en-GB"/>
        </w:rPr>
        <w:t xml:space="preserve">&amp; </w:t>
      </w:r>
      <w:proofErr w:type="spellStart"/>
      <w:r w:rsidRPr="004E0A51">
        <w:rPr>
          <w:rFonts w:ascii="Gulliver-Regular" w:hAnsi="Gulliver-Regular"/>
          <w:color w:val="000000" w:themeColor="text1"/>
          <w:sz w:val="20"/>
          <w:shd w:val="clear" w:color="auto" w:fill="FFFFFF"/>
          <w:lang w:val="en-GB"/>
        </w:rPr>
        <w:t>Ongayi</w:t>
      </w:r>
      <w:proofErr w:type="spellEnd"/>
      <w:r w:rsidRPr="004E0A51">
        <w:rPr>
          <w:rFonts w:ascii="Gulliver-Regular" w:hAnsi="Gulliver-Regular"/>
          <w:color w:val="000000" w:themeColor="text1"/>
          <w:sz w:val="20"/>
          <w:shd w:val="clear" w:color="auto" w:fill="FFFFFF"/>
          <w:lang w:val="en-GB"/>
        </w:rPr>
        <w:t xml:space="preserve">, Q. (2018). Literature Review on the Impact of Tax Knowledge on Tax Compliance among Small Medium Enterprises in a Developing Country. </w:t>
      </w:r>
      <w:r w:rsidRPr="004E0A51">
        <w:rPr>
          <w:rFonts w:ascii="Gulliver-Regular" w:hAnsi="Gulliver-Regular"/>
          <w:i/>
          <w:iCs/>
          <w:color w:val="000000" w:themeColor="text1"/>
          <w:sz w:val="20"/>
          <w:shd w:val="clear" w:color="auto" w:fill="FFFFFF"/>
          <w:lang w:val="en-GB"/>
        </w:rPr>
        <w:t>International Journal of Entrepreneurship</w:t>
      </w:r>
      <w:r w:rsidRPr="004E0A51">
        <w:rPr>
          <w:rFonts w:ascii="Gulliver-Regular" w:hAnsi="Gulliver-Regular"/>
          <w:color w:val="000000" w:themeColor="text1"/>
          <w:sz w:val="20"/>
          <w:shd w:val="clear" w:color="auto" w:fill="FFFFFF"/>
          <w:lang w:val="en-GB"/>
        </w:rPr>
        <w:t xml:space="preserve">, </w:t>
      </w:r>
      <w:r w:rsidRPr="004E0A51">
        <w:rPr>
          <w:rFonts w:ascii="Gulliver-Regular" w:hAnsi="Gulliver-Regular"/>
          <w:i/>
          <w:iCs/>
          <w:color w:val="000000" w:themeColor="text1"/>
          <w:sz w:val="20"/>
          <w:shd w:val="clear" w:color="auto" w:fill="FFFFFF"/>
          <w:lang w:val="en-GB"/>
        </w:rPr>
        <w:t>22</w:t>
      </w:r>
      <w:r w:rsidRPr="004E0A51">
        <w:rPr>
          <w:rFonts w:ascii="Gulliver-Regular" w:hAnsi="Gulliver-Regular"/>
          <w:color w:val="000000" w:themeColor="text1"/>
          <w:sz w:val="20"/>
          <w:shd w:val="clear" w:color="auto" w:fill="FFFFFF"/>
          <w:lang w:val="en-GB"/>
        </w:rPr>
        <w:t>(4), 1-15.</w:t>
      </w:r>
    </w:p>
    <w:p w14:paraId="7B7BBFAE" w14:textId="77777777" w:rsidR="004E0A51" w:rsidRPr="004E0A51" w:rsidRDefault="004E0A51" w:rsidP="004E0A51">
      <w:pPr>
        <w:spacing w:before="60" w:after="60"/>
        <w:ind w:left="360" w:hanging="360"/>
        <w:jc w:val="left"/>
        <w:rPr>
          <w:rFonts w:ascii="Gulliver-Regular" w:hAnsi="Gulliver-Regular"/>
          <w:color w:val="000000" w:themeColor="text1"/>
          <w:sz w:val="20"/>
          <w:shd w:val="clear" w:color="auto" w:fill="FFFFFF"/>
          <w:lang w:val="en-GB"/>
        </w:rPr>
      </w:pPr>
      <w:r w:rsidRPr="004E0A51">
        <w:rPr>
          <w:rFonts w:ascii="Gulliver-Regular" w:hAnsi="Gulliver-Regular"/>
          <w:color w:val="000000" w:themeColor="text1"/>
          <w:sz w:val="20"/>
          <w:shd w:val="clear" w:color="auto" w:fill="FFFFFF"/>
          <w:lang w:val="en-GB"/>
        </w:rPr>
        <w:t xml:space="preserve">OECD. (2001). </w:t>
      </w:r>
      <w:r w:rsidRPr="004E0A51">
        <w:rPr>
          <w:rFonts w:ascii="Gulliver-Regular" w:hAnsi="Gulliver-Regular"/>
          <w:i/>
          <w:iCs/>
          <w:color w:val="000000" w:themeColor="text1"/>
          <w:sz w:val="20"/>
          <w:shd w:val="clear" w:color="auto" w:fill="FFFFFF"/>
          <w:lang w:val="en-GB"/>
        </w:rPr>
        <w:t>Agricultural Policies in OECD Countries: Monitoring and Evaluation 2000: Glossary of Agricultural Policy Terms</w:t>
      </w:r>
      <w:r w:rsidRPr="004E0A51">
        <w:rPr>
          <w:rFonts w:ascii="Gulliver-Regular" w:hAnsi="Gulliver-Regular"/>
          <w:color w:val="000000" w:themeColor="text1"/>
          <w:sz w:val="20"/>
          <w:shd w:val="clear" w:color="auto" w:fill="FFFFFF"/>
          <w:lang w:val="en-GB"/>
        </w:rPr>
        <w:t>, OECD.</w:t>
      </w:r>
    </w:p>
    <w:p w14:paraId="5575833A" w14:textId="77777777" w:rsidR="004E0A51" w:rsidRPr="004E0A51" w:rsidRDefault="004E0A51" w:rsidP="004E0A51">
      <w:pPr>
        <w:pStyle w:val="FootnoteText"/>
        <w:spacing w:before="60" w:after="60"/>
        <w:ind w:left="360" w:hanging="360"/>
        <w:rPr>
          <w:rFonts w:ascii="Gulliver-Regular" w:hAnsi="Gulliver-Regular" w:cs="Arial"/>
          <w:color w:val="000000" w:themeColor="text1"/>
        </w:rPr>
      </w:pPr>
      <w:r w:rsidRPr="004E0A51">
        <w:rPr>
          <w:rFonts w:ascii="Gulliver-Regular" w:hAnsi="Gulliver-Regular" w:cs="Arial"/>
          <w:color w:val="000000" w:themeColor="text1"/>
        </w:rPr>
        <w:t xml:space="preserve">OECD. (1999). </w:t>
      </w:r>
      <w:r w:rsidRPr="004E0A51">
        <w:rPr>
          <w:rFonts w:ascii="Gulliver-Regular" w:hAnsi="Gulliver-Regular" w:cs="Arial"/>
          <w:i/>
          <w:iCs/>
          <w:color w:val="000000" w:themeColor="text1"/>
        </w:rPr>
        <w:t>Are the Current Treaty Rules for Taxing Business Profits Appropriate for E-Commerce? – Final Report,</w:t>
      </w:r>
      <w:r w:rsidRPr="004E0A51">
        <w:rPr>
          <w:rFonts w:ascii="Gulliver-Regular" w:hAnsi="Gulliver-Regular" w:cs="Arial"/>
          <w:color w:val="000000" w:themeColor="text1"/>
        </w:rPr>
        <w:t xml:space="preserve"> p. 72 and 350.</w:t>
      </w:r>
    </w:p>
    <w:p w14:paraId="18381C38" w14:textId="77777777" w:rsidR="004E0A51" w:rsidRPr="004E0A51" w:rsidRDefault="004E0A51" w:rsidP="004E0A51">
      <w:pPr>
        <w:pStyle w:val="FootnoteText"/>
        <w:spacing w:before="60" w:after="60"/>
        <w:ind w:left="360" w:hanging="360"/>
        <w:rPr>
          <w:rFonts w:ascii="Gulliver-Regular" w:hAnsi="Gulliver-Regular" w:cs="Arial"/>
          <w:color w:val="000000" w:themeColor="text1"/>
        </w:rPr>
      </w:pPr>
      <w:r w:rsidRPr="004E0A51">
        <w:rPr>
          <w:rFonts w:ascii="Gulliver-Regular" w:hAnsi="Gulliver-Regular" w:cs="Arial"/>
          <w:color w:val="000000" w:themeColor="text1"/>
        </w:rPr>
        <w:t xml:space="preserve">OECD. (2015). </w:t>
      </w:r>
      <w:r w:rsidRPr="004E0A51">
        <w:rPr>
          <w:rFonts w:ascii="Gulliver-Regular" w:hAnsi="Gulliver-Regular" w:cs="Arial"/>
          <w:i/>
          <w:iCs/>
          <w:color w:val="000000" w:themeColor="text1"/>
        </w:rPr>
        <w:t>Addressing the Tax Challenges of the Digital Economy, Action 1 - 2015 Final Report</w:t>
      </w:r>
      <w:r w:rsidRPr="004E0A51">
        <w:rPr>
          <w:rFonts w:ascii="Gulliver-Regular" w:hAnsi="Gulliver-Regular" w:cs="Arial"/>
          <w:color w:val="000000" w:themeColor="text1"/>
        </w:rPr>
        <w:t>, OECD/G20 Base Erosion and Profit Shifting Project. Paris: OECD Publishing. https://doi.org/10.1787/9789264241046-en.</w:t>
      </w:r>
    </w:p>
    <w:p w14:paraId="3B9F4325"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Olexová, C., &amp; </w:t>
      </w:r>
      <w:proofErr w:type="spellStart"/>
      <w:r w:rsidRPr="004E0A51">
        <w:rPr>
          <w:rFonts w:ascii="Gulliver-Regular" w:hAnsi="Gulliver-Regular"/>
          <w:color w:val="000000" w:themeColor="text1"/>
          <w:sz w:val="20"/>
          <w:lang w:val="en-GB"/>
        </w:rPr>
        <w:t>Hus</w:t>
      </w:r>
      <w:r w:rsidRPr="004E0A51">
        <w:rPr>
          <w:rFonts w:ascii="Cambria" w:hAnsi="Cambria" w:cs="Cambria"/>
          <w:color w:val="000000" w:themeColor="text1"/>
          <w:sz w:val="20"/>
          <w:lang w:val="en-GB"/>
        </w:rPr>
        <w:t>ť</w:t>
      </w:r>
      <w:r w:rsidRPr="004E0A51">
        <w:rPr>
          <w:rFonts w:ascii="Gulliver-Regular" w:hAnsi="Gulliver-Regular" w:cs="Gulliver-Regular"/>
          <w:color w:val="000000" w:themeColor="text1"/>
          <w:sz w:val="20"/>
          <w:lang w:val="en-GB"/>
        </w:rPr>
        <w:t>á</w:t>
      </w:r>
      <w:r w:rsidRPr="004E0A51">
        <w:rPr>
          <w:rFonts w:ascii="Gulliver-Regular" w:hAnsi="Gulliver-Regular"/>
          <w:color w:val="000000" w:themeColor="text1"/>
          <w:sz w:val="20"/>
          <w:lang w:val="en-GB"/>
        </w:rPr>
        <w:t>k</w:t>
      </w:r>
      <w:proofErr w:type="spellEnd"/>
      <w:r w:rsidRPr="004E0A51">
        <w:rPr>
          <w:rFonts w:ascii="Gulliver-Regular" w:hAnsi="Gulliver-Regular"/>
          <w:color w:val="000000" w:themeColor="text1"/>
          <w:sz w:val="20"/>
          <w:lang w:val="en-GB"/>
        </w:rPr>
        <w:t xml:space="preserve">, M. (2018). Harmonization of Value Added Tax Applicable in the Slovak Republic in European Union Legislation. In </w:t>
      </w:r>
      <w:proofErr w:type="spellStart"/>
      <w:r w:rsidRPr="004E0A51">
        <w:rPr>
          <w:rFonts w:ascii="Gulliver-Regular" w:hAnsi="Gulliver-Regular"/>
          <w:i/>
          <w:iCs/>
          <w:color w:val="000000" w:themeColor="text1"/>
          <w:sz w:val="20"/>
          <w:lang w:val="en-GB"/>
        </w:rPr>
        <w:t>SGEM</w:t>
      </w:r>
      <w:proofErr w:type="spellEnd"/>
      <w:r w:rsidRPr="004E0A51">
        <w:rPr>
          <w:rFonts w:ascii="Gulliver-Regular" w:hAnsi="Gulliver-Regular"/>
          <w:i/>
          <w:iCs/>
          <w:color w:val="000000" w:themeColor="text1"/>
          <w:sz w:val="20"/>
          <w:lang w:val="en-GB"/>
        </w:rPr>
        <w:t xml:space="preserve"> 2018. International Multidisciplinary Scientific Conference on Social Sciences and Arts. </w:t>
      </w:r>
      <w:proofErr w:type="spellStart"/>
      <w:r w:rsidRPr="004E0A51">
        <w:rPr>
          <w:rFonts w:ascii="Gulliver-Regular" w:hAnsi="Gulliver-Regular"/>
          <w:i/>
          <w:iCs/>
          <w:color w:val="000000" w:themeColor="text1"/>
          <w:sz w:val="20"/>
          <w:lang w:val="en-GB"/>
        </w:rPr>
        <w:t>SGEM</w:t>
      </w:r>
      <w:proofErr w:type="spellEnd"/>
      <w:r w:rsidRPr="004E0A51">
        <w:rPr>
          <w:rFonts w:ascii="Gulliver-Regular" w:hAnsi="Gulliver-Regular"/>
          <w:i/>
          <w:iCs/>
          <w:color w:val="000000" w:themeColor="text1"/>
          <w:sz w:val="20"/>
          <w:lang w:val="en-GB"/>
        </w:rPr>
        <w:t xml:space="preserve"> 2018 : Conference Proceedings : 5th International Multidisciplinary Scientific Conference on Social Sciences and Arts, 26 August - 01 September 2018, </w:t>
      </w:r>
      <w:proofErr w:type="spellStart"/>
      <w:r w:rsidRPr="004E0A51">
        <w:rPr>
          <w:rFonts w:ascii="Gulliver-Regular" w:hAnsi="Gulliver-Regular"/>
          <w:i/>
          <w:iCs/>
          <w:color w:val="000000" w:themeColor="text1"/>
          <w:sz w:val="20"/>
          <w:lang w:val="en-GB"/>
        </w:rPr>
        <w:t>Albena</w:t>
      </w:r>
      <w:proofErr w:type="spellEnd"/>
      <w:r w:rsidRPr="004E0A51">
        <w:rPr>
          <w:rFonts w:ascii="Gulliver-Regular" w:hAnsi="Gulliver-Regular"/>
          <w:i/>
          <w:iCs/>
          <w:color w:val="000000" w:themeColor="text1"/>
          <w:sz w:val="20"/>
          <w:lang w:val="en-GB"/>
        </w:rPr>
        <w:t xml:space="preserve"> Co., Bulgaria</w:t>
      </w:r>
      <w:r w:rsidRPr="004E0A51">
        <w:rPr>
          <w:rFonts w:ascii="Gulliver-Regular" w:hAnsi="Gulliver-Regular"/>
          <w:color w:val="000000" w:themeColor="text1"/>
          <w:sz w:val="20"/>
          <w:lang w:val="en-GB"/>
        </w:rPr>
        <w:t>. (</w:t>
      </w:r>
      <w:r w:rsidRPr="004E0A51">
        <w:rPr>
          <w:rFonts w:ascii="Gulliver-Regular" w:hAnsi="Gulliver-Regular"/>
          <w:i/>
          <w:iCs/>
          <w:color w:val="000000" w:themeColor="text1"/>
          <w:sz w:val="20"/>
          <w:lang w:val="en-GB"/>
        </w:rPr>
        <w:t>5(</w:t>
      </w:r>
      <w:r w:rsidRPr="004E0A51">
        <w:rPr>
          <w:rFonts w:ascii="Gulliver-Regular" w:hAnsi="Gulliver-Regular"/>
          <w:color w:val="000000" w:themeColor="text1"/>
          <w:sz w:val="20"/>
          <w:lang w:val="en-GB"/>
        </w:rPr>
        <w:t>1.2) (pp. 561-568). Sofia: STEF92 Technology.</w:t>
      </w:r>
    </w:p>
    <w:p w14:paraId="67DFC21F"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Olken</w:t>
      </w:r>
      <w:proofErr w:type="spellEnd"/>
      <w:r w:rsidRPr="004E0A51">
        <w:rPr>
          <w:rFonts w:ascii="Gulliver-Regular" w:hAnsi="Gulliver-Regular"/>
          <w:color w:val="000000" w:themeColor="text1"/>
          <w:sz w:val="20"/>
          <w:lang w:val="en-GB"/>
        </w:rPr>
        <w:t xml:space="preserve">, B., </w:t>
      </w:r>
      <w:r w:rsidRPr="004E0A51">
        <w:rPr>
          <w:rFonts w:ascii="Cambria" w:hAnsi="Cambria"/>
          <w:color w:val="000000" w:themeColor="text1"/>
          <w:sz w:val="20"/>
          <w:lang w:val="en-GB"/>
        </w:rPr>
        <w:t>&amp;</w:t>
      </w:r>
      <w:r w:rsidRPr="004E0A51">
        <w:rPr>
          <w:rFonts w:ascii="Gulliver-Regular" w:hAnsi="Gulliver-Regular"/>
          <w:color w:val="000000" w:themeColor="text1"/>
          <w:sz w:val="20"/>
          <w:lang w:val="en-GB"/>
        </w:rPr>
        <w:t xml:space="preserve"> Pande, R. (2012). Corruption in Developing Countries. </w:t>
      </w:r>
      <w:r w:rsidRPr="004E0A51">
        <w:rPr>
          <w:rFonts w:ascii="Gulliver-Regular" w:hAnsi="Gulliver-Regular"/>
          <w:i/>
          <w:iCs/>
          <w:color w:val="000000" w:themeColor="text1"/>
          <w:sz w:val="20"/>
          <w:lang w:val="en-GB"/>
        </w:rPr>
        <w:t xml:space="preserve">Annual Review of Economics, 4(1), </w:t>
      </w:r>
      <w:r w:rsidRPr="004E0A51">
        <w:rPr>
          <w:rFonts w:ascii="Gulliver-Regular" w:hAnsi="Gulliver-Regular"/>
          <w:color w:val="000000" w:themeColor="text1"/>
          <w:sz w:val="20"/>
          <w:lang w:val="en-GB"/>
        </w:rPr>
        <w:t xml:space="preserve">479-509. Doi: </w:t>
      </w:r>
      <w:r w:rsidRPr="004E0A51">
        <w:rPr>
          <w:rFonts w:ascii="Gulliver-Regular" w:hAnsi="Gulliver-Regular"/>
          <w:color w:val="000000" w:themeColor="text1"/>
          <w:sz w:val="20"/>
        </w:rPr>
        <w:t>10.1146/annurev-economics-080511-110917</w:t>
      </w:r>
    </w:p>
    <w:p w14:paraId="0E271DBE"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Poniatowski</w:t>
      </w:r>
      <w:proofErr w:type="spellEnd"/>
      <w:r w:rsidRPr="004E0A51">
        <w:rPr>
          <w:rFonts w:ascii="Gulliver-Regular" w:hAnsi="Gulliver-Regular"/>
          <w:color w:val="000000" w:themeColor="text1"/>
          <w:sz w:val="20"/>
          <w:lang w:val="en-GB"/>
        </w:rPr>
        <w:t xml:space="preserve">, G. (2016). </w:t>
      </w:r>
      <w:r w:rsidRPr="004E0A51">
        <w:rPr>
          <w:rFonts w:ascii="Gulliver-Regular" w:hAnsi="Gulliver-Regular"/>
          <w:i/>
          <w:iCs/>
          <w:color w:val="000000" w:themeColor="text1"/>
          <w:sz w:val="20"/>
          <w:lang w:val="en-GB"/>
        </w:rPr>
        <w:t xml:space="preserve">VAT non-compliance in Poland under scrutiny. </w:t>
      </w:r>
      <w:proofErr w:type="spellStart"/>
      <w:r w:rsidRPr="004E0A51">
        <w:rPr>
          <w:rFonts w:ascii="Gulliver-Regular" w:hAnsi="Gulliver-Regular"/>
          <w:i/>
          <w:iCs/>
          <w:color w:val="000000" w:themeColor="text1"/>
          <w:sz w:val="20"/>
          <w:lang w:val="en-GB"/>
        </w:rPr>
        <w:t>mBank</w:t>
      </w:r>
      <w:proofErr w:type="spellEnd"/>
      <w:r w:rsidRPr="004E0A51">
        <w:rPr>
          <w:rFonts w:ascii="Gulliver-Regular" w:hAnsi="Gulliver-Regular"/>
          <w:i/>
          <w:iCs/>
          <w:color w:val="000000" w:themeColor="text1"/>
          <w:sz w:val="20"/>
          <w:lang w:val="en-GB"/>
        </w:rPr>
        <w:t xml:space="preserve"> – CASE Seminar Proceedings No. 142/2016.</w:t>
      </w:r>
      <w:r w:rsidRPr="004E0A51">
        <w:rPr>
          <w:rFonts w:ascii="Gulliver-Regular" w:hAnsi="Gulliver-Regular"/>
          <w:color w:val="000000" w:themeColor="text1"/>
          <w:sz w:val="20"/>
          <w:lang w:val="en-GB"/>
        </w:rPr>
        <w:t xml:space="preserve"> Retrieved November 29, 2021, from https://case-research.eu/sites/default/files/publications/mBank-Case_Seminar_Proceedings_no142_0.pdf </w:t>
      </w:r>
    </w:p>
    <w:p w14:paraId="0DACCCE1"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Regulation (EU) No 1286/2013 of the European Parliament and of the Council of 11.12.2013 establishing an action programme to improve the operation of taxation systems in the European Union for the period 2014-2020 (</w:t>
      </w:r>
      <w:proofErr w:type="spellStart"/>
      <w:r w:rsidRPr="004E0A51">
        <w:rPr>
          <w:rFonts w:ascii="Gulliver-Regular" w:hAnsi="Gulliver-Regular"/>
          <w:color w:val="000000" w:themeColor="text1"/>
          <w:sz w:val="20"/>
          <w:lang w:val="en-GB"/>
        </w:rPr>
        <w:t>Fiscalis</w:t>
      </w:r>
      <w:proofErr w:type="spellEnd"/>
      <w:r w:rsidRPr="004E0A51">
        <w:rPr>
          <w:rFonts w:ascii="Gulliver-Regular" w:hAnsi="Gulliver-Regular"/>
          <w:color w:val="000000" w:themeColor="text1"/>
          <w:sz w:val="20"/>
          <w:lang w:val="en-GB"/>
        </w:rPr>
        <w:t xml:space="preserve"> 2020) and repealing Decision No 1482/2007/EC</w:t>
      </w:r>
    </w:p>
    <w:p w14:paraId="393C98D3"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Románová</w:t>
      </w:r>
      <w:proofErr w:type="spellEnd"/>
      <w:r w:rsidRPr="004E0A51">
        <w:rPr>
          <w:rFonts w:ascii="Gulliver-Regular" w:hAnsi="Gulliver-Regular"/>
          <w:color w:val="000000" w:themeColor="text1"/>
          <w:sz w:val="20"/>
          <w:lang w:val="en-GB"/>
        </w:rPr>
        <w:t xml:space="preserve">, A., </w:t>
      </w:r>
      <w:r w:rsidRPr="004E0A51">
        <w:rPr>
          <w:rFonts w:ascii="Gulliver-Regular" w:eastAsia="Times New Roman" w:hAnsi="Gulliver-Regular"/>
          <w:color w:val="000000" w:themeColor="text1"/>
          <w:sz w:val="20"/>
          <w:lang w:val="en-GB" w:eastAsia="en-US"/>
        </w:rPr>
        <w:t>&amp;</w:t>
      </w:r>
      <w:r w:rsidRPr="004E0A51">
        <w:rPr>
          <w:rFonts w:ascii="Gulliver-Regular" w:hAnsi="Gulliver-Regular"/>
          <w:color w:val="000000" w:themeColor="text1"/>
          <w:sz w:val="20"/>
          <w:lang w:val="en-GB"/>
        </w:rPr>
        <w:t xml:space="preserve"> </w:t>
      </w:r>
      <w:proofErr w:type="spellStart"/>
      <w:r w:rsidRPr="004E0A51">
        <w:rPr>
          <w:rFonts w:ascii="Cambria" w:hAnsi="Cambria" w:cs="Cambria"/>
          <w:color w:val="000000" w:themeColor="text1"/>
          <w:sz w:val="20"/>
          <w:lang w:val="en-GB"/>
        </w:rPr>
        <w:t>Č</w:t>
      </w:r>
      <w:r w:rsidRPr="004E0A51">
        <w:rPr>
          <w:rFonts w:ascii="Gulliver-Regular" w:hAnsi="Gulliver-Regular"/>
          <w:color w:val="000000" w:themeColor="text1"/>
          <w:sz w:val="20"/>
          <w:lang w:val="en-GB"/>
        </w:rPr>
        <w:t>erven</w:t>
      </w:r>
      <w:r w:rsidRPr="004E0A51">
        <w:rPr>
          <w:rFonts w:ascii="Gulliver-Regular" w:hAnsi="Gulliver-Regular" w:cs="Gulliver-Regular"/>
          <w:color w:val="000000" w:themeColor="text1"/>
          <w:sz w:val="20"/>
          <w:lang w:val="en-GB"/>
        </w:rPr>
        <w:t>á</w:t>
      </w:r>
      <w:proofErr w:type="spellEnd"/>
      <w:r w:rsidRPr="004E0A51">
        <w:rPr>
          <w:rFonts w:ascii="Gulliver-Regular" w:hAnsi="Gulliver-Regular"/>
          <w:color w:val="000000" w:themeColor="text1"/>
          <w:sz w:val="20"/>
          <w:lang w:val="en-GB"/>
        </w:rPr>
        <w:t xml:space="preserve">, K. (2017). Implementation of e-Government in the Slovak Republic at the Level of Local Self-Government. </w:t>
      </w:r>
      <w:r w:rsidRPr="004E0A51">
        <w:rPr>
          <w:rFonts w:ascii="Gulliver-Regular" w:hAnsi="Gulliver-Regular"/>
          <w:i/>
          <w:iCs/>
          <w:color w:val="000000" w:themeColor="text1"/>
          <w:sz w:val="20"/>
          <w:lang w:val="en-GB"/>
        </w:rPr>
        <w:t xml:space="preserve">In: Proceedings of the 17th European Conference on Digital Government. Reading: Academic </w:t>
      </w:r>
      <w:proofErr w:type="spellStart"/>
      <w:r w:rsidRPr="004E0A51">
        <w:rPr>
          <w:rFonts w:ascii="Gulliver-Regular" w:hAnsi="Gulliver-Regular"/>
          <w:i/>
          <w:iCs/>
          <w:color w:val="000000" w:themeColor="text1"/>
          <w:sz w:val="20"/>
          <w:lang w:val="en-GB"/>
        </w:rPr>
        <w:t>Cenferences</w:t>
      </w:r>
      <w:proofErr w:type="spellEnd"/>
      <w:r w:rsidRPr="004E0A51">
        <w:rPr>
          <w:rFonts w:ascii="Gulliver-Regular" w:hAnsi="Gulliver-Regular"/>
          <w:i/>
          <w:iCs/>
          <w:color w:val="000000" w:themeColor="text1"/>
          <w:sz w:val="20"/>
          <w:lang w:val="en-GB"/>
        </w:rPr>
        <w:t xml:space="preserve"> and Publishing International </w:t>
      </w:r>
      <w:r w:rsidRPr="004E0A51">
        <w:rPr>
          <w:rFonts w:ascii="Gulliver-Regular" w:hAnsi="Gulliver-Regular"/>
          <w:color w:val="000000" w:themeColor="text1"/>
          <w:sz w:val="20"/>
          <w:lang w:val="en-GB"/>
        </w:rPr>
        <w:t xml:space="preserve">(pp. 170-178). </w:t>
      </w:r>
    </w:p>
    <w:p w14:paraId="64BF9C42"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Schultzová</w:t>
      </w:r>
      <w:proofErr w:type="spellEnd"/>
      <w:r w:rsidRPr="004E0A51">
        <w:rPr>
          <w:rFonts w:ascii="Gulliver-Regular" w:hAnsi="Gulliver-Regular"/>
          <w:color w:val="000000" w:themeColor="text1"/>
          <w:sz w:val="20"/>
          <w:lang w:val="en-GB"/>
        </w:rPr>
        <w:t xml:space="preserve">, A. (2020). Behavioural approaches to tax collection: the case of Slovakia. </w:t>
      </w:r>
      <w:r w:rsidRPr="004E0A51">
        <w:rPr>
          <w:rFonts w:ascii="Gulliver-Regular" w:hAnsi="Gulliver-Regular"/>
          <w:i/>
          <w:iCs/>
          <w:color w:val="000000" w:themeColor="text1"/>
          <w:sz w:val="20"/>
          <w:lang w:val="en-GB"/>
        </w:rPr>
        <w:t xml:space="preserve">European Journal of </w:t>
      </w:r>
      <w:proofErr w:type="spellStart"/>
      <w:r w:rsidRPr="004E0A51">
        <w:rPr>
          <w:rFonts w:ascii="Gulliver-Regular" w:hAnsi="Gulliver-Regular"/>
          <w:i/>
          <w:iCs/>
          <w:color w:val="000000" w:themeColor="text1"/>
          <w:sz w:val="20"/>
          <w:lang w:val="en-GB"/>
        </w:rPr>
        <w:t>Transfromation</w:t>
      </w:r>
      <w:proofErr w:type="spellEnd"/>
      <w:r w:rsidRPr="004E0A51">
        <w:rPr>
          <w:rFonts w:ascii="Gulliver-Regular" w:hAnsi="Gulliver-Regular"/>
          <w:i/>
          <w:iCs/>
          <w:color w:val="000000" w:themeColor="text1"/>
          <w:sz w:val="20"/>
          <w:lang w:val="en-GB"/>
        </w:rPr>
        <w:t xml:space="preserve"> Studies,8</w:t>
      </w:r>
      <w:r w:rsidRPr="004E0A51">
        <w:rPr>
          <w:rFonts w:ascii="Gulliver-Regular" w:hAnsi="Gulliver-Regular"/>
          <w:color w:val="000000" w:themeColor="text1"/>
          <w:sz w:val="20"/>
          <w:lang w:val="en-GB"/>
        </w:rPr>
        <w:t>(2), 210-221.</w:t>
      </w:r>
    </w:p>
    <w:p w14:paraId="25DA865D"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r w:rsidRPr="004E0A51">
        <w:rPr>
          <w:rFonts w:ascii="Gulliver-Regular" w:hAnsi="Gulliver-Regular"/>
          <w:color w:val="000000" w:themeColor="text1"/>
          <w:sz w:val="20"/>
          <w:lang w:val="en-GB"/>
        </w:rPr>
        <w:t xml:space="preserve">Sipos, A. (2015). Determining factors of tax-morale with special emphasis on the tax revenues of local self-governments. In </w:t>
      </w:r>
      <w:r w:rsidRPr="004E0A51">
        <w:rPr>
          <w:rFonts w:ascii="Gulliver-Regular" w:hAnsi="Gulliver-Regular"/>
          <w:i/>
          <w:iCs/>
          <w:color w:val="000000" w:themeColor="text1"/>
          <w:sz w:val="20"/>
          <w:lang w:val="en-GB"/>
        </w:rPr>
        <w:t>Procedia Economics and Finance, 30</w:t>
      </w:r>
      <w:r w:rsidRPr="004E0A51">
        <w:rPr>
          <w:rFonts w:ascii="Gulliver-Regular" w:hAnsi="Gulliver-Regular"/>
          <w:color w:val="000000" w:themeColor="text1"/>
          <w:sz w:val="20"/>
          <w:lang w:val="en-GB"/>
        </w:rPr>
        <w:t>, 758-767.</w:t>
      </w:r>
    </w:p>
    <w:p w14:paraId="4B617753" w14:textId="77777777" w:rsidR="004E0A51" w:rsidRPr="004E0A51" w:rsidRDefault="004E0A51" w:rsidP="004E0A51">
      <w:pPr>
        <w:spacing w:before="60" w:after="60"/>
        <w:ind w:left="360" w:hanging="360"/>
        <w:jc w:val="left"/>
        <w:rPr>
          <w:rStyle w:val="Hyperlink"/>
          <w:color w:val="000000" w:themeColor="text1"/>
          <w:u w:val="none"/>
        </w:rPr>
      </w:pPr>
      <w:proofErr w:type="spellStart"/>
      <w:r w:rsidRPr="004E0A51">
        <w:rPr>
          <w:rFonts w:ascii="Gulliver-Regular" w:hAnsi="Gulliver-Regular"/>
          <w:color w:val="000000" w:themeColor="text1"/>
          <w:sz w:val="20"/>
          <w:lang w:val="en-GB"/>
        </w:rPr>
        <w:t>Stavja</w:t>
      </w:r>
      <w:r w:rsidRPr="004E0A51">
        <w:rPr>
          <w:rFonts w:ascii="Cambria" w:hAnsi="Cambria" w:cs="Cambria"/>
          <w:color w:val="000000" w:themeColor="text1"/>
          <w:sz w:val="20"/>
          <w:lang w:val="en-GB"/>
        </w:rPr>
        <w:t>ň</w:t>
      </w:r>
      <w:r w:rsidRPr="004E0A51">
        <w:rPr>
          <w:rFonts w:ascii="Gulliver-Regular" w:hAnsi="Gulliver-Regular"/>
          <w:color w:val="000000" w:themeColor="text1"/>
          <w:sz w:val="20"/>
          <w:lang w:val="en-GB"/>
        </w:rPr>
        <w:t>ov</w:t>
      </w:r>
      <w:r w:rsidRPr="004E0A51">
        <w:rPr>
          <w:rFonts w:ascii="Gulliver-Regular" w:hAnsi="Gulliver-Regular" w:cs="Gulliver-Regular"/>
          <w:color w:val="000000" w:themeColor="text1"/>
          <w:sz w:val="20"/>
          <w:lang w:val="en-GB"/>
        </w:rPr>
        <w:t>á</w:t>
      </w:r>
      <w:proofErr w:type="spellEnd"/>
      <w:r w:rsidRPr="004E0A51">
        <w:rPr>
          <w:rFonts w:ascii="Gulliver-Regular" w:hAnsi="Gulliver-Regular"/>
          <w:color w:val="000000" w:themeColor="text1"/>
          <w:sz w:val="20"/>
          <w:lang w:val="en-GB"/>
        </w:rPr>
        <w:t xml:space="preserve">, J. (2014). Value Added Tax Gap in the Czech Republic. </w:t>
      </w:r>
      <w:r w:rsidRPr="004E0A51">
        <w:rPr>
          <w:rFonts w:ascii="Gulliver-Regular" w:hAnsi="Gulliver-Regular"/>
          <w:i/>
          <w:iCs/>
          <w:color w:val="000000" w:themeColor="text1"/>
          <w:sz w:val="20"/>
          <w:lang w:val="en-GB"/>
        </w:rPr>
        <w:t xml:space="preserve">Acta Universitatis </w:t>
      </w:r>
      <w:proofErr w:type="spellStart"/>
      <w:r w:rsidRPr="004E0A51">
        <w:rPr>
          <w:rFonts w:ascii="Gulliver-Regular" w:hAnsi="Gulliver-Regular"/>
          <w:i/>
          <w:iCs/>
          <w:color w:val="000000" w:themeColor="text1"/>
          <w:sz w:val="20"/>
          <w:lang w:val="en-GB"/>
        </w:rPr>
        <w:t>Agriculturae</w:t>
      </w:r>
      <w:proofErr w:type="spellEnd"/>
      <w:r w:rsidRPr="004E0A51">
        <w:rPr>
          <w:rFonts w:ascii="Gulliver-Regular" w:hAnsi="Gulliver-Regular"/>
          <w:i/>
          <w:iCs/>
          <w:color w:val="000000" w:themeColor="text1"/>
          <w:sz w:val="20"/>
          <w:lang w:val="en-GB"/>
        </w:rPr>
        <w:t> </w:t>
      </w:r>
      <w:r w:rsidRPr="004E0A51">
        <w:rPr>
          <w:rFonts w:ascii="Gulliver-Regular" w:hAnsi="Gulliver-Regular"/>
          <w:i/>
          <w:iCs/>
          <w:color w:val="000000" w:themeColor="text1"/>
          <w:sz w:val="20"/>
          <w:lang w:val="en-GB"/>
        </w:rPr>
        <w:br/>
        <w:t xml:space="preserve">et </w:t>
      </w:r>
      <w:proofErr w:type="spellStart"/>
      <w:r w:rsidRPr="004E0A51">
        <w:rPr>
          <w:rFonts w:ascii="Gulliver-Regular" w:hAnsi="Gulliver-Regular"/>
          <w:i/>
          <w:iCs/>
          <w:color w:val="000000" w:themeColor="text1"/>
          <w:sz w:val="20"/>
          <w:lang w:val="en-GB"/>
        </w:rPr>
        <w:t>Silviculturae</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Mendelianae</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Brunensis</w:t>
      </w:r>
      <w:proofErr w:type="spellEnd"/>
      <w:r w:rsidRPr="004E0A51">
        <w:rPr>
          <w:rFonts w:ascii="Gulliver-Regular" w:hAnsi="Gulliver-Regular"/>
          <w:i/>
          <w:iCs/>
          <w:color w:val="000000" w:themeColor="text1"/>
          <w:sz w:val="20"/>
          <w:lang w:val="en-GB"/>
        </w:rPr>
        <w:t>, 62</w:t>
      </w:r>
      <w:r w:rsidRPr="004E0A51">
        <w:rPr>
          <w:rFonts w:ascii="Gulliver-Regular" w:hAnsi="Gulliver-Regular"/>
          <w:color w:val="000000" w:themeColor="text1"/>
          <w:sz w:val="20"/>
          <w:lang w:val="en-GB"/>
        </w:rPr>
        <w:t xml:space="preserve">(149), 1427-1436. DOI: </w:t>
      </w:r>
      <w:hyperlink r:id="rId27" w:history="1">
        <w:r w:rsidRPr="004E0A51">
          <w:rPr>
            <w:rStyle w:val="Hyperlink"/>
            <w:rFonts w:ascii="Gulliver-Regular" w:hAnsi="Gulliver-Regular"/>
            <w:color w:val="000000" w:themeColor="text1"/>
            <w:sz w:val="20"/>
            <w:u w:val="none"/>
            <w:lang w:val="en-GB"/>
          </w:rPr>
          <w:t>http://dx.doi.org/10.11118/actaun201462061427</w:t>
        </w:r>
      </w:hyperlink>
    </w:p>
    <w:p w14:paraId="752B8750" w14:textId="77777777" w:rsidR="004E0A51" w:rsidRPr="004E0A51" w:rsidRDefault="004E0A51" w:rsidP="004E0A51">
      <w:pPr>
        <w:spacing w:before="60" w:after="60"/>
        <w:ind w:left="360" w:hanging="360"/>
        <w:jc w:val="left"/>
        <w:rPr>
          <w:color w:val="000000" w:themeColor="text1"/>
        </w:rPr>
      </w:pPr>
      <w:proofErr w:type="spellStart"/>
      <w:r w:rsidRPr="004E0A51">
        <w:rPr>
          <w:rFonts w:ascii="Gulliver-Regular" w:hAnsi="Gulliver-Regular"/>
          <w:color w:val="000000" w:themeColor="text1"/>
          <w:sz w:val="20"/>
        </w:rPr>
        <w:t>Szewczyk</w:t>
      </w:r>
      <w:proofErr w:type="spellEnd"/>
      <w:r w:rsidRPr="004E0A51">
        <w:rPr>
          <w:rFonts w:ascii="Gulliver-Regular" w:hAnsi="Gulliver-Regular"/>
          <w:color w:val="000000" w:themeColor="text1"/>
          <w:sz w:val="20"/>
        </w:rPr>
        <w:t xml:space="preserve">, R. M. (2021). COVID-19 and its Impact on VAT Gap in the EU: Lessons from and for Poland. p. 662 </w:t>
      </w:r>
      <w:r w:rsidRPr="004E0A51">
        <w:rPr>
          <w:rFonts w:ascii="Gulliver-Regular" w:hAnsi="Gulliver-Regular"/>
          <w:i/>
          <w:iCs/>
          <w:color w:val="000000" w:themeColor="text1"/>
          <w:sz w:val="20"/>
        </w:rPr>
        <w:t>In: European Research Studies Journal Volume XXIV, Special Issue 3, 2021.</w:t>
      </w:r>
    </w:p>
    <w:p w14:paraId="21F2F1F0"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Šrein</w:t>
      </w:r>
      <w:proofErr w:type="spellEnd"/>
      <w:r w:rsidRPr="004E0A51">
        <w:rPr>
          <w:rFonts w:ascii="Gulliver-Regular" w:hAnsi="Gulliver-Regular"/>
          <w:color w:val="000000" w:themeColor="text1"/>
          <w:sz w:val="20"/>
          <w:lang w:val="en-GB"/>
        </w:rPr>
        <w:t xml:space="preserve">, Z. (2008). </w:t>
      </w:r>
      <w:proofErr w:type="spellStart"/>
      <w:r w:rsidRPr="004E0A51">
        <w:rPr>
          <w:rFonts w:ascii="Gulliver-Regular" w:hAnsi="Gulliver-Regular"/>
          <w:i/>
          <w:iCs/>
          <w:color w:val="000000" w:themeColor="text1"/>
          <w:sz w:val="20"/>
          <w:lang w:val="en-GB"/>
        </w:rPr>
        <w:t>Mechanismy</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hospodá</w:t>
      </w:r>
      <w:r w:rsidRPr="004E0A51">
        <w:rPr>
          <w:rFonts w:ascii="Cambria" w:hAnsi="Cambria" w:cs="Cambria"/>
          <w:i/>
          <w:iCs/>
          <w:color w:val="000000" w:themeColor="text1"/>
          <w:sz w:val="20"/>
          <w:lang w:val="en-GB"/>
        </w:rPr>
        <w:t>ř</w:t>
      </w:r>
      <w:r w:rsidRPr="004E0A51">
        <w:rPr>
          <w:rFonts w:ascii="Gulliver-Regular" w:hAnsi="Gulliver-Regular"/>
          <w:i/>
          <w:iCs/>
          <w:color w:val="000000" w:themeColor="text1"/>
          <w:sz w:val="20"/>
          <w:lang w:val="en-GB"/>
        </w:rPr>
        <w:t>sk</w:t>
      </w:r>
      <w:r w:rsidRPr="004E0A51">
        <w:rPr>
          <w:rFonts w:ascii="Gulliver-Regular" w:hAnsi="Gulliver-Regular" w:cs="Gulliver-Regular"/>
          <w:i/>
          <w:iCs/>
          <w:color w:val="000000" w:themeColor="text1"/>
          <w:sz w:val="20"/>
          <w:lang w:val="en-GB"/>
        </w:rPr>
        <w:t>é</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politiky</w:t>
      </w:r>
      <w:proofErr w:type="spellEnd"/>
      <w:r w:rsidRPr="004E0A51">
        <w:rPr>
          <w:rFonts w:ascii="Gulliver-Regular" w:hAnsi="Gulliver-Regular"/>
          <w:i/>
          <w:iCs/>
          <w:color w:val="000000" w:themeColor="text1"/>
          <w:sz w:val="20"/>
          <w:lang w:val="en-GB"/>
        </w:rPr>
        <w:t xml:space="preserve"> a </w:t>
      </w:r>
      <w:proofErr w:type="spellStart"/>
      <w:r w:rsidRPr="004E0A51">
        <w:rPr>
          <w:rFonts w:ascii="Gulliver-Regular" w:hAnsi="Gulliver-Regular"/>
          <w:i/>
          <w:iCs/>
          <w:color w:val="000000" w:themeColor="text1"/>
          <w:sz w:val="20"/>
          <w:lang w:val="en-GB"/>
        </w:rPr>
        <w:t>Evropsk</w:t>
      </w:r>
      <w:r w:rsidRPr="004E0A51">
        <w:rPr>
          <w:rFonts w:ascii="Gulliver-Regular" w:hAnsi="Gulliver-Regular" w:cs="Gulliver-Regular"/>
          <w:i/>
          <w:iCs/>
          <w:color w:val="000000" w:themeColor="text1"/>
          <w:sz w:val="20"/>
          <w:lang w:val="en-GB"/>
        </w:rPr>
        <w:t>é</w:t>
      </w:r>
      <w:proofErr w:type="spellEnd"/>
      <w:r w:rsidRPr="004E0A51">
        <w:rPr>
          <w:rFonts w:ascii="Gulliver-Regular" w:hAnsi="Gulliver-Regular"/>
          <w:i/>
          <w:iCs/>
          <w:color w:val="000000" w:themeColor="text1"/>
          <w:sz w:val="20"/>
          <w:lang w:val="en-GB"/>
        </w:rPr>
        <w:t xml:space="preserve"> </w:t>
      </w:r>
      <w:proofErr w:type="spellStart"/>
      <w:r w:rsidRPr="004E0A51">
        <w:rPr>
          <w:rFonts w:ascii="Gulliver-Regular" w:hAnsi="Gulliver-Regular"/>
          <w:i/>
          <w:iCs/>
          <w:color w:val="000000" w:themeColor="text1"/>
          <w:sz w:val="20"/>
          <w:lang w:val="en-GB"/>
        </w:rPr>
        <w:t>unie</w:t>
      </w:r>
      <w:proofErr w:type="spellEnd"/>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Ústí</w:t>
      </w:r>
      <w:proofErr w:type="spellEnd"/>
      <w:r w:rsidRPr="004E0A51">
        <w:rPr>
          <w:rFonts w:ascii="Gulliver-Regular" w:hAnsi="Gulliver-Regular"/>
          <w:color w:val="000000" w:themeColor="text1"/>
          <w:sz w:val="20"/>
          <w:lang w:val="en-GB"/>
        </w:rPr>
        <w:t xml:space="preserve"> </w:t>
      </w:r>
      <w:proofErr w:type="spellStart"/>
      <w:r w:rsidRPr="004E0A51">
        <w:rPr>
          <w:rFonts w:ascii="Gulliver-Regular" w:hAnsi="Gulliver-Regular"/>
          <w:color w:val="000000" w:themeColor="text1"/>
          <w:sz w:val="20"/>
          <w:lang w:val="en-GB"/>
        </w:rPr>
        <w:t>nad</w:t>
      </w:r>
      <w:proofErr w:type="spellEnd"/>
      <w:r w:rsidRPr="004E0A51">
        <w:rPr>
          <w:rFonts w:ascii="Gulliver-Regular" w:hAnsi="Gulliver-Regular"/>
          <w:color w:val="000000" w:themeColor="text1"/>
          <w:sz w:val="20"/>
          <w:lang w:val="en-GB"/>
        </w:rPr>
        <w:t xml:space="preserve"> Labem: PSE </w:t>
      </w:r>
      <w:proofErr w:type="spellStart"/>
      <w:r w:rsidRPr="004E0A51">
        <w:rPr>
          <w:rFonts w:ascii="Gulliver-Regular" w:hAnsi="Gulliver-Regular"/>
          <w:color w:val="000000" w:themeColor="text1"/>
          <w:sz w:val="20"/>
          <w:lang w:val="en-GB"/>
        </w:rPr>
        <w:t>UJEP</w:t>
      </w:r>
      <w:proofErr w:type="spellEnd"/>
      <w:r w:rsidRPr="004E0A51">
        <w:rPr>
          <w:rFonts w:ascii="Gulliver-Regular" w:hAnsi="Gulliver-Regular"/>
          <w:color w:val="000000" w:themeColor="text1"/>
          <w:sz w:val="20"/>
          <w:lang w:val="en-GB"/>
        </w:rPr>
        <w:t>.</w:t>
      </w:r>
    </w:p>
    <w:p w14:paraId="003850FE" w14:textId="77777777" w:rsidR="004E0A51" w:rsidRPr="004E0A51" w:rsidRDefault="004E0A51" w:rsidP="004E0A51">
      <w:pPr>
        <w:spacing w:before="60" w:after="60"/>
        <w:ind w:left="360" w:hanging="360"/>
        <w:jc w:val="left"/>
        <w:rPr>
          <w:rStyle w:val="Hyperlink"/>
          <w:color w:val="000000" w:themeColor="text1"/>
          <w:u w:val="none"/>
        </w:rPr>
      </w:pPr>
      <w:proofErr w:type="spellStart"/>
      <w:r w:rsidRPr="004E0A51">
        <w:rPr>
          <w:rFonts w:ascii="Gulliver-Regular" w:hAnsi="Gulliver-Regular"/>
          <w:color w:val="000000" w:themeColor="text1"/>
          <w:sz w:val="20"/>
        </w:rPr>
        <w:t>Štrkolec</w:t>
      </w:r>
      <w:proofErr w:type="spellEnd"/>
      <w:r w:rsidRPr="004E0A51">
        <w:rPr>
          <w:rFonts w:ascii="Gulliver-Regular" w:hAnsi="Gulliver-Regular"/>
          <w:color w:val="000000" w:themeColor="text1"/>
          <w:sz w:val="20"/>
        </w:rPr>
        <w:t xml:space="preserve">, M. (2017). </w:t>
      </w:r>
      <w:proofErr w:type="spellStart"/>
      <w:r w:rsidRPr="004E0A51">
        <w:rPr>
          <w:rFonts w:ascii="Gulliver-Regular" w:hAnsi="Gulliver-Regular"/>
          <w:i/>
          <w:color w:val="000000" w:themeColor="text1"/>
          <w:sz w:val="20"/>
        </w:rPr>
        <w:t>Zabezpe</w:t>
      </w:r>
      <w:r w:rsidRPr="004E0A51">
        <w:rPr>
          <w:rFonts w:ascii="Cambria" w:hAnsi="Cambria" w:cs="Cambria"/>
          <w:i/>
          <w:color w:val="000000" w:themeColor="text1"/>
          <w:sz w:val="20"/>
        </w:rPr>
        <w:t>č</w:t>
      </w:r>
      <w:r w:rsidRPr="004E0A51">
        <w:rPr>
          <w:rFonts w:ascii="Gulliver-Regular" w:hAnsi="Gulliver-Regular"/>
          <w:i/>
          <w:color w:val="000000" w:themeColor="text1"/>
          <w:sz w:val="20"/>
        </w:rPr>
        <w:t>ovacie</w:t>
      </w:r>
      <w:proofErr w:type="spellEnd"/>
      <w:r w:rsidRPr="004E0A51">
        <w:rPr>
          <w:rFonts w:ascii="Gulliver-Regular" w:hAnsi="Gulliver-Regular"/>
          <w:i/>
          <w:color w:val="000000" w:themeColor="text1"/>
          <w:sz w:val="20"/>
        </w:rPr>
        <w:t xml:space="preserve"> </w:t>
      </w:r>
      <w:proofErr w:type="spellStart"/>
      <w:r w:rsidRPr="004E0A51">
        <w:rPr>
          <w:rFonts w:ascii="Gulliver-Regular" w:hAnsi="Gulliver-Regular"/>
          <w:i/>
          <w:color w:val="000000" w:themeColor="text1"/>
          <w:sz w:val="20"/>
        </w:rPr>
        <w:t>in</w:t>
      </w:r>
      <w:r w:rsidRPr="004E0A51">
        <w:rPr>
          <w:rFonts w:ascii="Gulliver-Regular" w:hAnsi="Gulliver-Regular" w:cs="Gulliver-Regular"/>
          <w:i/>
          <w:color w:val="000000" w:themeColor="text1"/>
          <w:sz w:val="20"/>
        </w:rPr>
        <w:t>š</w:t>
      </w:r>
      <w:r w:rsidRPr="004E0A51">
        <w:rPr>
          <w:rFonts w:ascii="Gulliver-Regular" w:hAnsi="Gulliver-Regular"/>
          <w:i/>
          <w:color w:val="000000" w:themeColor="text1"/>
          <w:sz w:val="20"/>
        </w:rPr>
        <w:t>tit</w:t>
      </w:r>
      <w:r w:rsidRPr="004E0A51">
        <w:rPr>
          <w:rFonts w:ascii="Gulliver-Regular" w:hAnsi="Gulliver-Regular" w:cs="Gulliver-Regular"/>
          <w:i/>
          <w:color w:val="000000" w:themeColor="text1"/>
          <w:sz w:val="20"/>
        </w:rPr>
        <w:t>ú</w:t>
      </w:r>
      <w:r w:rsidRPr="004E0A51">
        <w:rPr>
          <w:rFonts w:ascii="Gulliver-Regular" w:hAnsi="Gulliver-Regular"/>
          <w:i/>
          <w:color w:val="000000" w:themeColor="text1"/>
          <w:sz w:val="20"/>
        </w:rPr>
        <w:t>ty</w:t>
      </w:r>
      <w:proofErr w:type="spellEnd"/>
      <w:r w:rsidRPr="004E0A51">
        <w:rPr>
          <w:rFonts w:ascii="Gulliver-Regular" w:hAnsi="Gulliver-Regular"/>
          <w:i/>
          <w:color w:val="000000" w:themeColor="text1"/>
          <w:sz w:val="20"/>
        </w:rPr>
        <w:t xml:space="preserve"> </w:t>
      </w:r>
      <w:proofErr w:type="spellStart"/>
      <w:r w:rsidRPr="004E0A51">
        <w:rPr>
          <w:rFonts w:ascii="Gulliver-Regular" w:hAnsi="Gulliver-Regular"/>
          <w:i/>
          <w:color w:val="000000" w:themeColor="text1"/>
          <w:sz w:val="20"/>
        </w:rPr>
        <w:t>pri</w:t>
      </w:r>
      <w:proofErr w:type="spellEnd"/>
      <w:r w:rsidRPr="004E0A51">
        <w:rPr>
          <w:rFonts w:ascii="Gulliver-Regular" w:hAnsi="Gulliver-Regular"/>
          <w:i/>
          <w:color w:val="000000" w:themeColor="text1"/>
          <w:sz w:val="20"/>
        </w:rPr>
        <w:t xml:space="preserve"> </w:t>
      </w:r>
      <w:proofErr w:type="spellStart"/>
      <w:r w:rsidRPr="004E0A51">
        <w:rPr>
          <w:rFonts w:ascii="Gulliver-Regular" w:hAnsi="Gulliver-Regular"/>
          <w:i/>
          <w:color w:val="000000" w:themeColor="text1"/>
          <w:sz w:val="20"/>
        </w:rPr>
        <w:t>spr</w:t>
      </w:r>
      <w:r w:rsidRPr="004E0A51">
        <w:rPr>
          <w:rFonts w:ascii="Gulliver-Regular" w:hAnsi="Gulliver-Regular" w:cs="Gulliver-Regular"/>
          <w:i/>
          <w:color w:val="000000" w:themeColor="text1"/>
          <w:sz w:val="20"/>
        </w:rPr>
        <w:t>á</w:t>
      </w:r>
      <w:r w:rsidRPr="004E0A51">
        <w:rPr>
          <w:rFonts w:ascii="Gulliver-Regular" w:hAnsi="Gulliver-Regular"/>
          <w:i/>
          <w:color w:val="000000" w:themeColor="text1"/>
          <w:sz w:val="20"/>
        </w:rPr>
        <w:t>ve</w:t>
      </w:r>
      <w:proofErr w:type="spellEnd"/>
      <w:r w:rsidRPr="004E0A51">
        <w:rPr>
          <w:rFonts w:ascii="Gulliver-Regular" w:hAnsi="Gulliver-Regular"/>
          <w:i/>
          <w:color w:val="000000" w:themeColor="text1"/>
          <w:sz w:val="20"/>
        </w:rPr>
        <w:t xml:space="preserve"> </w:t>
      </w:r>
      <w:proofErr w:type="spellStart"/>
      <w:r w:rsidRPr="004E0A51">
        <w:rPr>
          <w:rFonts w:ascii="Gulliver-Regular" w:hAnsi="Gulliver-Regular"/>
          <w:i/>
          <w:color w:val="000000" w:themeColor="text1"/>
          <w:sz w:val="20"/>
        </w:rPr>
        <w:t>dan</w:t>
      </w:r>
      <w:r w:rsidRPr="004E0A51">
        <w:rPr>
          <w:rFonts w:ascii="Gulliver-Regular" w:hAnsi="Gulliver-Regular" w:cs="Gulliver-Regular"/>
          <w:i/>
          <w:color w:val="000000" w:themeColor="text1"/>
          <w:sz w:val="20"/>
        </w:rPr>
        <w:t>í</w:t>
      </w:r>
      <w:proofErr w:type="spellEnd"/>
      <w:r w:rsidRPr="004E0A51">
        <w:rPr>
          <w:rFonts w:ascii="Gulliver-Regular" w:hAnsi="Gulliver-Regular"/>
          <w:i/>
          <w:color w:val="000000" w:themeColor="text1"/>
          <w:sz w:val="20"/>
        </w:rPr>
        <w:t>.</w:t>
      </w:r>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Košice</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Univerzita</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Pavla</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Jozefa</w:t>
      </w:r>
      <w:proofErr w:type="spellEnd"/>
      <w:r w:rsidRPr="004E0A51">
        <w:rPr>
          <w:rFonts w:ascii="Gulliver-Regular" w:hAnsi="Gulliver-Regular"/>
          <w:color w:val="000000" w:themeColor="text1"/>
          <w:sz w:val="20"/>
        </w:rPr>
        <w:t xml:space="preserve"> </w:t>
      </w:r>
      <w:proofErr w:type="spellStart"/>
      <w:r w:rsidRPr="004E0A51">
        <w:rPr>
          <w:rFonts w:ascii="Gulliver-Regular" w:hAnsi="Gulliver-Regular"/>
          <w:color w:val="000000" w:themeColor="text1"/>
          <w:sz w:val="20"/>
        </w:rPr>
        <w:t>Šafárika</w:t>
      </w:r>
      <w:proofErr w:type="spellEnd"/>
      <w:r w:rsidRPr="004E0A51">
        <w:rPr>
          <w:rFonts w:ascii="Gulliver-Regular" w:hAnsi="Gulliver-Regular"/>
          <w:color w:val="000000" w:themeColor="text1"/>
          <w:sz w:val="20"/>
        </w:rPr>
        <w:t xml:space="preserve"> v Košiciach. ISBN 978-80-8152-537-7</w:t>
      </w:r>
    </w:p>
    <w:p w14:paraId="0B87DAB9" w14:textId="77777777" w:rsidR="004E0A51" w:rsidRPr="004E0A51" w:rsidRDefault="004E0A51" w:rsidP="004E0A51">
      <w:pPr>
        <w:spacing w:before="60" w:after="60"/>
        <w:ind w:left="360" w:hanging="360"/>
        <w:jc w:val="left"/>
        <w:rPr>
          <w:color w:val="000000" w:themeColor="text1"/>
        </w:rPr>
      </w:pPr>
      <w:proofErr w:type="spellStart"/>
      <w:r w:rsidRPr="004E0A51">
        <w:rPr>
          <w:rFonts w:ascii="Gulliver-Regular" w:hAnsi="Gulliver-Regular"/>
          <w:color w:val="000000" w:themeColor="text1"/>
          <w:sz w:val="20"/>
          <w:lang w:val="en-GB"/>
        </w:rPr>
        <w:t>Torgler</w:t>
      </w:r>
      <w:proofErr w:type="spellEnd"/>
      <w:r w:rsidRPr="004E0A51">
        <w:rPr>
          <w:rFonts w:ascii="Gulliver-Regular" w:hAnsi="Gulliver-Regular"/>
          <w:color w:val="000000" w:themeColor="text1"/>
          <w:sz w:val="20"/>
          <w:lang w:val="en-GB"/>
        </w:rPr>
        <w:t xml:space="preserve">, B. (2012). Tax morale, Eastern </w:t>
      </w:r>
      <w:proofErr w:type="gramStart"/>
      <w:r w:rsidRPr="004E0A51">
        <w:rPr>
          <w:rFonts w:ascii="Gulliver-Regular" w:hAnsi="Gulliver-Regular"/>
          <w:color w:val="000000" w:themeColor="text1"/>
          <w:sz w:val="20"/>
          <w:lang w:val="en-GB"/>
        </w:rPr>
        <w:t>Europe</w:t>
      </w:r>
      <w:proofErr w:type="gramEnd"/>
      <w:r w:rsidRPr="004E0A51">
        <w:rPr>
          <w:rFonts w:ascii="Gulliver-Regular" w:hAnsi="Gulliver-Regular"/>
          <w:color w:val="000000" w:themeColor="text1"/>
          <w:sz w:val="20"/>
          <w:lang w:val="en-GB"/>
        </w:rPr>
        <w:t xml:space="preserve"> and the European enlargement. </w:t>
      </w:r>
      <w:r w:rsidRPr="004E0A51">
        <w:rPr>
          <w:rFonts w:ascii="Gulliver-Regular" w:hAnsi="Gulliver-Regular"/>
          <w:i/>
          <w:iCs/>
          <w:color w:val="000000" w:themeColor="text1"/>
          <w:sz w:val="20"/>
          <w:lang w:val="en-GB"/>
        </w:rPr>
        <w:t>Communist and Post-Communist Studies</w:t>
      </w:r>
      <w:r w:rsidRPr="004E0A51">
        <w:rPr>
          <w:rFonts w:ascii="Gulliver-Regular" w:hAnsi="Gulliver-Regular"/>
          <w:color w:val="000000" w:themeColor="text1"/>
          <w:sz w:val="20"/>
          <w:lang w:val="en-GB"/>
        </w:rPr>
        <w:t xml:space="preserve">, </w:t>
      </w:r>
      <w:r w:rsidRPr="004E0A51">
        <w:rPr>
          <w:rFonts w:ascii="Gulliver-Regular" w:hAnsi="Gulliver-Regular"/>
          <w:i/>
          <w:iCs/>
          <w:color w:val="000000" w:themeColor="text1"/>
          <w:sz w:val="20"/>
          <w:lang w:val="en-GB"/>
        </w:rPr>
        <w:t>45</w:t>
      </w:r>
      <w:r w:rsidRPr="004E0A51">
        <w:rPr>
          <w:rFonts w:ascii="Gulliver-Regular" w:hAnsi="Gulliver-Regular"/>
          <w:color w:val="000000" w:themeColor="text1"/>
          <w:sz w:val="20"/>
          <w:lang w:val="en-GB"/>
        </w:rPr>
        <w:t>(1), 11-25. DOI: 10.1016/j.postcomstud.2012.02.005</w:t>
      </w:r>
    </w:p>
    <w:p w14:paraId="75DE9265" w14:textId="77777777" w:rsidR="004E0A51" w:rsidRPr="004E0A51" w:rsidRDefault="004E0A51" w:rsidP="004E0A51">
      <w:pPr>
        <w:spacing w:before="60" w:after="60"/>
        <w:ind w:left="360" w:hanging="360"/>
        <w:jc w:val="left"/>
        <w:rPr>
          <w:rFonts w:ascii="Gulliver-Regular" w:hAnsi="Gulliver-Regular"/>
          <w:color w:val="000000" w:themeColor="text1"/>
          <w:sz w:val="20"/>
          <w:lang w:val="en-GB"/>
        </w:rPr>
      </w:pPr>
      <w:proofErr w:type="spellStart"/>
      <w:r w:rsidRPr="004E0A51">
        <w:rPr>
          <w:rFonts w:ascii="Gulliver-Regular" w:hAnsi="Gulliver-Regular"/>
          <w:color w:val="000000" w:themeColor="text1"/>
          <w:sz w:val="20"/>
          <w:lang w:val="en-GB"/>
        </w:rPr>
        <w:t>Torgler</w:t>
      </w:r>
      <w:proofErr w:type="spellEnd"/>
      <w:r w:rsidRPr="004E0A51">
        <w:rPr>
          <w:rFonts w:ascii="Gulliver-Regular" w:hAnsi="Gulliver-Regular"/>
          <w:color w:val="000000" w:themeColor="text1"/>
          <w:sz w:val="20"/>
          <w:lang w:val="en-GB"/>
        </w:rPr>
        <w:t xml:space="preserve">, B. (2001). What do we know about tax morale and tax compliance? </w:t>
      </w:r>
      <w:r w:rsidRPr="004E0A51">
        <w:rPr>
          <w:rFonts w:ascii="Gulliver-Regular" w:hAnsi="Gulliver-Regular"/>
          <w:i/>
          <w:iCs/>
          <w:color w:val="000000" w:themeColor="text1"/>
          <w:sz w:val="20"/>
          <w:lang w:val="en-GB"/>
        </w:rPr>
        <w:t>International Review of Economics and Business (</w:t>
      </w:r>
      <w:proofErr w:type="spellStart"/>
      <w:r w:rsidRPr="004E0A51">
        <w:rPr>
          <w:rFonts w:ascii="Gulliver-Regular" w:hAnsi="Gulliver-Regular"/>
          <w:i/>
          <w:iCs/>
          <w:color w:val="000000" w:themeColor="text1"/>
          <w:sz w:val="20"/>
          <w:lang w:val="en-GB"/>
        </w:rPr>
        <w:t>RISEC</w:t>
      </w:r>
      <w:proofErr w:type="spellEnd"/>
      <w:r w:rsidRPr="004E0A51">
        <w:rPr>
          <w:rFonts w:ascii="Gulliver-Regular" w:hAnsi="Gulliver-Regular"/>
          <w:i/>
          <w:iCs/>
          <w:color w:val="000000" w:themeColor="text1"/>
          <w:sz w:val="20"/>
          <w:lang w:val="en-GB"/>
        </w:rPr>
        <w:t>), 48</w:t>
      </w:r>
      <w:r w:rsidRPr="004E0A51">
        <w:rPr>
          <w:rFonts w:ascii="Gulliver-Regular" w:hAnsi="Gulliver-Regular"/>
          <w:color w:val="000000" w:themeColor="text1"/>
          <w:sz w:val="20"/>
          <w:lang w:val="en-GB"/>
        </w:rPr>
        <w:t>(3), 395-419.</w:t>
      </w:r>
    </w:p>
    <w:p w14:paraId="76A314D4" w14:textId="77777777" w:rsidR="004E0A51" w:rsidRPr="004E0A51" w:rsidRDefault="004E0A51" w:rsidP="004E0A51">
      <w:pPr>
        <w:spacing w:before="60" w:after="60"/>
        <w:ind w:left="360" w:hanging="360"/>
        <w:jc w:val="left"/>
        <w:rPr>
          <w:rStyle w:val="Hyperlink"/>
          <w:color w:val="000000" w:themeColor="text1"/>
          <w:u w:val="none"/>
        </w:rPr>
      </w:pPr>
      <w:r w:rsidRPr="004E0A51">
        <w:rPr>
          <w:rFonts w:ascii="Gulliver-Regular" w:hAnsi="Gulliver-Regular"/>
          <w:color w:val="000000" w:themeColor="text1"/>
          <w:sz w:val="20"/>
          <w:lang w:val="en-GB"/>
        </w:rPr>
        <w:t xml:space="preserve">The World Bank (2020). </w:t>
      </w:r>
      <w:r w:rsidRPr="004E0A51">
        <w:rPr>
          <w:rFonts w:ascii="Gulliver-Regular" w:hAnsi="Gulliver-Regular"/>
          <w:i/>
          <w:iCs/>
          <w:color w:val="000000" w:themeColor="text1"/>
          <w:sz w:val="20"/>
          <w:lang w:val="en-GB"/>
        </w:rPr>
        <w:t>The Worldwide Governance Indicators</w:t>
      </w:r>
      <w:r w:rsidRPr="004E0A51">
        <w:rPr>
          <w:rFonts w:ascii="Gulliver-Regular" w:hAnsi="Gulliver-Regular"/>
          <w:color w:val="000000" w:themeColor="text1"/>
          <w:sz w:val="20"/>
          <w:lang w:val="en-GB"/>
        </w:rPr>
        <w:t xml:space="preserve">, 2020 Update. Retrieved May 11, 2021, from </w:t>
      </w:r>
      <w:hyperlink r:id="rId28" w:history="1">
        <w:r w:rsidRPr="004E0A51">
          <w:rPr>
            <w:rStyle w:val="Hyperlink"/>
            <w:rFonts w:ascii="Gulliver-Regular" w:hAnsi="Gulliver-Regular"/>
            <w:color w:val="000000" w:themeColor="text1"/>
            <w:sz w:val="20"/>
            <w:u w:val="none"/>
            <w:lang w:val="en-GB"/>
          </w:rPr>
          <w:t>https://info.worldbank.org/governance/wgi/</w:t>
        </w:r>
      </w:hyperlink>
    </w:p>
    <w:p w14:paraId="69630C83" w14:textId="77777777" w:rsidR="004E0A51" w:rsidRPr="004E0A51" w:rsidRDefault="004E0A51" w:rsidP="004E0A51">
      <w:pPr>
        <w:spacing w:before="60" w:after="60"/>
        <w:ind w:left="360" w:hanging="360"/>
        <w:jc w:val="left"/>
        <w:rPr>
          <w:rStyle w:val="value"/>
          <w:color w:val="000000" w:themeColor="text1"/>
        </w:rPr>
      </w:pPr>
      <w:proofErr w:type="spellStart"/>
      <w:r w:rsidRPr="004E0A51">
        <w:rPr>
          <w:rFonts w:ascii="Gulliver-Regular" w:hAnsi="Gulliver-Regular"/>
          <w:color w:val="000000" w:themeColor="text1"/>
          <w:sz w:val="20"/>
          <w:lang w:val="en-GB"/>
        </w:rPr>
        <w:t>Vintila</w:t>
      </w:r>
      <w:proofErr w:type="spellEnd"/>
      <w:r w:rsidRPr="004E0A51">
        <w:rPr>
          <w:rFonts w:ascii="Gulliver-Regular" w:hAnsi="Gulliver-Regular"/>
          <w:color w:val="000000" w:themeColor="text1"/>
          <w:sz w:val="20"/>
          <w:lang w:val="en-GB"/>
        </w:rPr>
        <w:t xml:space="preserve">, G., </w:t>
      </w:r>
      <w:proofErr w:type="spellStart"/>
      <w:r w:rsidRPr="004E0A51">
        <w:rPr>
          <w:rFonts w:ascii="Gulliver-Regular" w:hAnsi="Gulliver-Regular"/>
          <w:color w:val="000000" w:themeColor="text1"/>
          <w:sz w:val="20"/>
          <w:lang w:val="en-GB"/>
        </w:rPr>
        <w:t>Gherghina</w:t>
      </w:r>
      <w:proofErr w:type="spellEnd"/>
      <w:r w:rsidRPr="004E0A51">
        <w:rPr>
          <w:rFonts w:ascii="Gulliver-Regular" w:hAnsi="Gulliver-Regular"/>
          <w:color w:val="000000" w:themeColor="text1"/>
          <w:sz w:val="20"/>
          <w:lang w:val="en-GB"/>
        </w:rPr>
        <w:t xml:space="preserve">, S.C., &amp; </w:t>
      </w:r>
      <w:proofErr w:type="spellStart"/>
      <w:r w:rsidRPr="004E0A51">
        <w:rPr>
          <w:rFonts w:ascii="Gulliver-Regular" w:hAnsi="Gulliver-Regular"/>
          <w:color w:val="000000" w:themeColor="text1"/>
          <w:sz w:val="20"/>
          <w:lang w:val="en-GB"/>
        </w:rPr>
        <w:t>Chiricu</w:t>
      </w:r>
      <w:proofErr w:type="spellEnd"/>
      <w:r w:rsidRPr="004E0A51">
        <w:rPr>
          <w:rFonts w:ascii="Gulliver-Regular" w:hAnsi="Gulliver-Regular"/>
          <w:color w:val="000000" w:themeColor="text1"/>
          <w:sz w:val="20"/>
          <w:lang w:val="en-GB"/>
        </w:rPr>
        <w:t xml:space="preserve">, C. S. (2021). Does Fiscal Policy influence the economic growth? Evidence from OECD countries. </w:t>
      </w:r>
      <w:r w:rsidRPr="004E0A51">
        <w:rPr>
          <w:rFonts w:ascii="Gulliver-Regular" w:hAnsi="Gulliver-Regular"/>
          <w:i/>
          <w:iCs/>
          <w:color w:val="000000" w:themeColor="text1"/>
          <w:sz w:val="20"/>
          <w:lang w:val="en-GB"/>
        </w:rPr>
        <w:t>Economic computation and Economic Cybernetics studies and research</w:t>
      </w:r>
      <w:r w:rsidRPr="004E0A51">
        <w:rPr>
          <w:rFonts w:ascii="Gulliver-Regular" w:hAnsi="Gulliver-Regular"/>
          <w:color w:val="000000" w:themeColor="text1"/>
          <w:sz w:val="20"/>
          <w:lang w:val="en-GB"/>
        </w:rPr>
        <w:t xml:space="preserve">, </w:t>
      </w:r>
      <w:r w:rsidRPr="004E0A51">
        <w:rPr>
          <w:rFonts w:ascii="Gulliver-Regular" w:hAnsi="Gulliver-Regular"/>
          <w:i/>
          <w:iCs/>
          <w:color w:val="000000" w:themeColor="text1"/>
          <w:sz w:val="20"/>
          <w:lang w:val="en-GB"/>
        </w:rPr>
        <w:t>55</w:t>
      </w:r>
      <w:r w:rsidRPr="004E0A51">
        <w:rPr>
          <w:rFonts w:ascii="Gulliver-Regular" w:hAnsi="Gulliver-Regular"/>
          <w:color w:val="000000" w:themeColor="text1"/>
          <w:sz w:val="20"/>
          <w:lang w:val="en-GB"/>
        </w:rPr>
        <w:t xml:space="preserve">(2), 229-246. DOI: </w:t>
      </w:r>
      <w:r w:rsidRPr="004E0A51">
        <w:rPr>
          <w:rStyle w:val="value"/>
          <w:rFonts w:ascii="Gulliver-Regular" w:hAnsi="Gulliver-Regular"/>
          <w:color w:val="000000" w:themeColor="text1"/>
          <w:sz w:val="20"/>
          <w:lang w:val="en-GB"/>
        </w:rPr>
        <w:t>10.24818/18423264/55.2.21.14</w:t>
      </w:r>
    </w:p>
    <w:p w14:paraId="17E3F567" w14:textId="77777777" w:rsidR="004E0A51" w:rsidRPr="004E0A51" w:rsidRDefault="004E0A51" w:rsidP="004E0A51">
      <w:pPr>
        <w:spacing w:before="60" w:after="60"/>
        <w:ind w:left="360" w:hanging="360"/>
        <w:jc w:val="left"/>
        <w:rPr>
          <w:color w:val="000000" w:themeColor="text1"/>
        </w:rPr>
      </w:pPr>
      <w:proofErr w:type="spellStart"/>
      <w:r w:rsidRPr="004E0A51">
        <w:rPr>
          <w:rFonts w:ascii="Gulliver-Regular" w:hAnsi="Gulliver-Regular"/>
          <w:color w:val="000000" w:themeColor="text1"/>
          <w:sz w:val="20"/>
          <w:lang w:val="en-GB"/>
        </w:rPr>
        <w:t>Zídková</w:t>
      </w:r>
      <w:proofErr w:type="spellEnd"/>
      <w:r w:rsidRPr="004E0A51">
        <w:rPr>
          <w:rFonts w:ascii="Gulliver-Regular" w:hAnsi="Gulliver-Regular"/>
          <w:color w:val="000000" w:themeColor="text1"/>
          <w:sz w:val="20"/>
          <w:lang w:val="en-GB"/>
        </w:rPr>
        <w:t xml:space="preserve">, H., </w:t>
      </w:r>
      <w:r w:rsidRPr="004E0A51">
        <w:rPr>
          <w:rFonts w:ascii="Gulliver-Regular" w:hAnsi="Gulliver-Regular"/>
          <w:color w:val="000000" w:themeColor="text1"/>
          <w:sz w:val="20"/>
          <w:lang w:val="en-GB" w:eastAsia="en-US"/>
        </w:rPr>
        <w:t>&amp;</w:t>
      </w:r>
      <w:r w:rsidRPr="004E0A51">
        <w:rPr>
          <w:rFonts w:ascii="Gulliver-Regular" w:hAnsi="Gulliver-Regular"/>
          <w:color w:val="000000" w:themeColor="text1"/>
          <w:sz w:val="20"/>
          <w:lang w:val="en-GB"/>
        </w:rPr>
        <w:t xml:space="preserve"> Pavel, J. (2016). What Causes the VAT Gap? </w:t>
      </w:r>
      <w:proofErr w:type="spellStart"/>
      <w:r w:rsidRPr="004E0A51">
        <w:rPr>
          <w:rFonts w:ascii="Gulliver-Regular" w:hAnsi="Gulliver-Regular"/>
          <w:i/>
          <w:iCs/>
          <w:color w:val="000000" w:themeColor="text1"/>
          <w:sz w:val="20"/>
          <w:lang w:val="en-GB"/>
        </w:rPr>
        <w:t>Ekonomický</w:t>
      </w:r>
      <w:proofErr w:type="spellEnd"/>
      <w:r w:rsidRPr="004E0A51">
        <w:rPr>
          <w:rFonts w:ascii="Gulliver-Regular" w:hAnsi="Gulliver-Regular"/>
          <w:i/>
          <w:iCs/>
          <w:color w:val="000000" w:themeColor="text1"/>
          <w:sz w:val="20"/>
          <w:lang w:val="en-GB"/>
        </w:rPr>
        <w:t xml:space="preserve"> </w:t>
      </w:r>
      <w:proofErr w:type="spellStart"/>
      <w:r w:rsidRPr="004E0A51">
        <w:rPr>
          <w:rFonts w:ascii="Cambria" w:hAnsi="Cambria" w:cs="Cambria"/>
          <w:i/>
          <w:iCs/>
          <w:color w:val="000000" w:themeColor="text1"/>
          <w:sz w:val="20"/>
          <w:lang w:val="en-GB"/>
        </w:rPr>
        <w:t>č</w:t>
      </w:r>
      <w:r w:rsidRPr="004E0A51">
        <w:rPr>
          <w:rFonts w:ascii="Gulliver-Regular" w:hAnsi="Gulliver-Regular"/>
          <w:i/>
          <w:iCs/>
          <w:color w:val="000000" w:themeColor="text1"/>
          <w:sz w:val="20"/>
          <w:lang w:val="en-GB"/>
        </w:rPr>
        <w:t>asopis</w:t>
      </w:r>
      <w:proofErr w:type="spellEnd"/>
      <w:r w:rsidRPr="004E0A51">
        <w:rPr>
          <w:rFonts w:ascii="Gulliver-Regular" w:hAnsi="Gulliver-Regular"/>
          <w:i/>
          <w:iCs/>
          <w:color w:val="000000" w:themeColor="text1"/>
          <w:sz w:val="20"/>
          <w:lang w:val="en-GB"/>
        </w:rPr>
        <w:t>/Journal of Economics</w:t>
      </w:r>
      <w:r w:rsidRPr="004E0A51">
        <w:rPr>
          <w:rFonts w:ascii="Gulliver-Regular" w:hAnsi="Gulliver-Regular"/>
          <w:color w:val="000000" w:themeColor="text1"/>
          <w:sz w:val="20"/>
          <w:lang w:val="en-GB"/>
        </w:rPr>
        <w:t xml:space="preserve">, </w:t>
      </w:r>
      <w:r w:rsidRPr="004E0A51">
        <w:rPr>
          <w:rFonts w:ascii="Gulliver-Regular" w:hAnsi="Gulliver-Regular"/>
          <w:i/>
          <w:iCs/>
          <w:color w:val="000000" w:themeColor="text1"/>
          <w:sz w:val="20"/>
          <w:lang w:val="en-GB"/>
        </w:rPr>
        <w:t>64</w:t>
      </w:r>
      <w:r w:rsidRPr="004E0A51">
        <w:rPr>
          <w:rFonts w:ascii="Gulliver-Regular" w:hAnsi="Gulliver-Regular"/>
          <w:color w:val="000000" w:themeColor="text1"/>
          <w:sz w:val="20"/>
          <w:lang w:val="en-GB"/>
        </w:rPr>
        <w:t>(9), 811-826.</w:t>
      </w:r>
    </w:p>
    <w:p w14:paraId="1F4A34E8" w14:textId="77777777" w:rsidR="004E0A51" w:rsidRPr="004E0A51" w:rsidRDefault="004E0A51" w:rsidP="004E0A51">
      <w:pPr>
        <w:pStyle w:val="Text"/>
        <w:spacing w:before="60" w:after="60"/>
        <w:jc w:val="left"/>
        <w:rPr>
          <w:rFonts w:ascii="Gulliver-Regular" w:hAnsi="Gulliver-Regular"/>
          <w:b/>
          <w:color w:val="000000" w:themeColor="text1"/>
          <w:lang w:eastAsia="uk-UA"/>
        </w:rPr>
      </w:pPr>
    </w:p>
    <w:p w14:paraId="65B1976B" w14:textId="0035D925" w:rsidR="00A90114" w:rsidRPr="004E0A51" w:rsidRDefault="00BD591F" w:rsidP="00BD591F">
      <w:pPr>
        <w:widowControl/>
        <w:spacing w:before="60" w:after="60"/>
        <w:ind w:left="360" w:hanging="360"/>
        <w:jc w:val="center"/>
        <w:rPr>
          <w:rFonts w:ascii="Gulliver-Regular" w:hAnsi="Gulliver-Regular"/>
          <w:shd w:val="clear" w:color="auto" w:fill="FFFFFF"/>
          <w:lang w:val="en-GB"/>
        </w:rPr>
      </w:pPr>
      <w:r w:rsidRPr="004E0A51">
        <w:rPr>
          <w:rFonts w:ascii="Gulliver-Regular" w:eastAsia="Times New Roman" w:hAnsi="Gulliver-Regular"/>
          <w:snapToGrid/>
          <w:color w:val="000000" w:themeColor="text1"/>
          <w:sz w:val="20"/>
          <w:lang w:eastAsia="en-US"/>
        </w:rPr>
        <w:br w:type="column"/>
      </w:r>
      <w:r w:rsidR="00531FA1" w:rsidRPr="004E0A51">
        <w:rPr>
          <w:rFonts w:ascii="Gulliver-Regular" w:hAnsi="Gulliver-Regular"/>
          <w:b/>
          <w:lang w:val="en-GB" w:eastAsia="uk-UA"/>
        </w:rPr>
        <w:t>ABOUT THE</w:t>
      </w:r>
      <w:r w:rsidR="00A90114" w:rsidRPr="004E0A51">
        <w:rPr>
          <w:rFonts w:ascii="Gulliver-Regular" w:hAnsi="Gulliver-Regular"/>
          <w:b/>
          <w:lang w:val="en-GB" w:eastAsia="uk-UA"/>
        </w:rPr>
        <w:t xml:space="preserve"> AUTHOR</w:t>
      </w:r>
      <w:r w:rsidR="00531FA1" w:rsidRPr="004E0A51">
        <w:rPr>
          <w:rFonts w:ascii="Gulliver-Regular" w:hAnsi="Gulliver-Regular"/>
          <w:b/>
          <w:lang w:val="en-GB" w:eastAsia="uk-UA"/>
        </w:rPr>
        <w:t>S</w:t>
      </w:r>
    </w:p>
    <w:p w14:paraId="3B4E688C" w14:textId="1788C6D1" w:rsidR="004E0A51" w:rsidRPr="004E0A51" w:rsidRDefault="004E0A51" w:rsidP="004E0A51">
      <w:pPr>
        <w:widowControl/>
        <w:spacing w:after="0"/>
        <w:ind w:left="360" w:hanging="360"/>
        <w:jc w:val="left"/>
        <w:rPr>
          <w:rFonts w:ascii="Gulliver-Regular" w:eastAsia="Calibri" w:hAnsi="Gulliver-Regular"/>
          <w:iCs/>
          <w:snapToGrid/>
          <w:sz w:val="20"/>
          <w:lang w:eastAsia="en-US"/>
        </w:rPr>
      </w:pPr>
      <w:proofErr w:type="spellStart"/>
      <w:r w:rsidRPr="004E0A51">
        <w:rPr>
          <w:rFonts w:ascii="Gulliver-Regular" w:eastAsia="Calibri" w:hAnsi="Gulliver-Regular"/>
          <w:bCs/>
          <w:iCs/>
          <w:sz w:val="20"/>
          <w:lang w:eastAsia="en-US"/>
        </w:rPr>
        <w:t>Cecília</w:t>
      </w:r>
      <w:proofErr w:type="spellEnd"/>
      <w:r w:rsidRPr="004E0A51">
        <w:rPr>
          <w:rFonts w:ascii="Gulliver-Regular" w:eastAsia="Calibri" w:hAnsi="Gulliver-Regular"/>
          <w:bCs/>
          <w:iCs/>
          <w:sz w:val="20"/>
          <w:lang w:eastAsia="en-US"/>
        </w:rPr>
        <w:t xml:space="preserve"> Olexová, </w:t>
      </w:r>
      <w:r w:rsidRPr="004E0A51">
        <w:rPr>
          <w:rFonts w:ascii="Gulliver-Regular" w:eastAsia="Calibri" w:hAnsi="Gulliver-Regular"/>
          <w:iCs/>
          <w:sz w:val="20"/>
          <w:lang w:eastAsia="en-US"/>
        </w:rPr>
        <w:t xml:space="preserve">email: </w:t>
      </w:r>
      <w:hyperlink r:id="rId29" w:history="1">
        <w:r w:rsidRPr="004E0A51">
          <w:rPr>
            <w:rStyle w:val="Hyperlink"/>
            <w:rFonts w:ascii="Gulliver-Regular" w:eastAsia="Calibri" w:hAnsi="Gulliver-Regular"/>
            <w:iCs/>
            <w:sz w:val="20"/>
            <w:u w:val="none"/>
            <w:lang w:eastAsia="en-US"/>
          </w:rPr>
          <w:t>cecilia.olexova@euba.sk</w:t>
        </w:r>
      </w:hyperlink>
    </w:p>
    <w:p w14:paraId="4A0D8BC4" w14:textId="77777777" w:rsidR="004E0A51" w:rsidRPr="004E0A51" w:rsidRDefault="004E0A51" w:rsidP="004E0A51">
      <w:pPr>
        <w:widowControl/>
        <w:spacing w:before="60" w:after="60"/>
        <w:ind w:left="360" w:hanging="360"/>
        <w:rPr>
          <w:rFonts w:ascii="Gulliver-Regular" w:hAnsi="Gulliver-Regular"/>
          <w:bCs/>
          <w:sz w:val="20"/>
        </w:rPr>
      </w:pPr>
      <w:r w:rsidRPr="004E0A51">
        <w:rPr>
          <w:rFonts w:ascii="Gulliver-Regular" w:hAnsi="Gulliver-Regular"/>
          <w:b/>
          <w:sz w:val="20"/>
        </w:rPr>
        <w:t xml:space="preserve">Assoc. prof. </w:t>
      </w:r>
      <w:proofErr w:type="spellStart"/>
      <w:r w:rsidRPr="004E0A51">
        <w:rPr>
          <w:rFonts w:ascii="Gulliver-Regular" w:hAnsi="Gulliver-Regular"/>
          <w:b/>
          <w:sz w:val="20"/>
        </w:rPr>
        <w:t>Cecília</w:t>
      </w:r>
      <w:proofErr w:type="spellEnd"/>
      <w:r w:rsidRPr="004E0A51">
        <w:rPr>
          <w:rFonts w:ascii="Gulliver-Regular" w:hAnsi="Gulliver-Regular"/>
          <w:b/>
          <w:sz w:val="20"/>
        </w:rPr>
        <w:t xml:space="preserve"> Olexová </w:t>
      </w:r>
      <w:r w:rsidRPr="004E0A51">
        <w:rPr>
          <w:rFonts w:ascii="Gulliver-Regular" w:hAnsi="Gulliver-Regular"/>
          <w:bCs/>
          <w:sz w:val="20"/>
        </w:rPr>
        <w:t xml:space="preserve">is an associate professor at the Department of Management, Faculty of Business Economics in </w:t>
      </w:r>
      <w:proofErr w:type="spellStart"/>
      <w:r w:rsidRPr="004E0A51">
        <w:rPr>
          <w:rFonts w:ascii="Gulliver-Regular" w:hAnsi="Gulliver-Regular"/>
          <w:bCs/>
          <w:sz w:val="20"/>
        </w:rPr>
        <w:t>Košice</w:t>
      </w:r>
      <w:proofErr w:type="spellEnd"/>
      <w:r w:rsidRPr="004E0A51">
        <w:rPr>
          <w:rFonts w:ascii="Gulliver-Regular" w:hAnsi="Gulliver-Regular"/>
          <w:bCs/>
          <w:sz w:val="20"/>
        </w:rPr>
        <w:t xml:space="preserve">, University of Economics in Bratislava, Slovak Republic. She focuses on selected managerial competencies in the corporate sphere. She specializes on tax issues in her scientific research. </w:t>
      </w:r>
    </w:p>
    <w:p w14:paraId="04B7B965" w14:textId="05BA5008" w:rsidR="004E0A51" w:rsidRPr="004E0A51" w:rsidRDefault="004E0A51" w:rsidP="004E0A51">
      <w:pPr>
        <w:widowControl/>
        <w:spacing w:before="60" w:after="60"/>
        <w:ind w:left="360" w:hanging="360"/>
        <w:rPr>
          <w:rFonts w:ascii="Gulliver-Regular" w:hAnsi="Gulliver-Regular"/>
          <w:bCs/>
          <w:sz w:val="20"/>
        </w:rPr>
      </w:pPr>
      <w:r w:rsidRPr="004E0A51">
        <w:rPr>
          <w:rFonts w:ascii="Gulliver-Regular" w:hAnsi="Gulliver-Regular"/>
          <w:b/>
          <w:sz w:val="20"/>
        </w:rPr>
        <w:t xml:space="preserve">Dr. </w:t>
      </w:r>
      <w:proofErr w:type="spellStart"/>
      <w:r w:rsidRPr="004E0A51">
        <w:rPr>
          <w:rFonts w:ascii="Gulliver-Regular" w:hAnsi="Gulliver-Regular"/>
          <w:b/>
          <w:sz w:val="20"/>
        </w:rPr>
        <w:t>František</w:t>
      </w:r>
      <w:proofErr w:type="spellEnd"/>
      <w:r w:rsidRPr="004E0A51">
        <w:rPr>
          <w:rFonts w:ascii="Gulliver-Regular" w:hAnsi="Gulliver-Regular"/>
          <w:b/>
          <w:sz w:val="20"/>
        </w:rPr>
        <w:t xml:space="preserve"> </w:t>
      </w:r>
      <w:proofErr w:type="spellStart"/>
      <w:r w:rsidRPr="004E0A51">
        <w:rPr>
          <w:rFonts w:ascii="Gulliver-Regular" w:hAnsi="Gulliver-Regular"/>
          <w:b/>
          <w:sz w:val="20"/>
        </w:rPr>
        <w:t>Sudzina</w:t>
      </w:r>
      <w:proofErr w:type="spellEnd"/>
      <w:r w:rsidRPr="004E0A51">
        <w:rPr>
          <w:rFonts w:ascii="Gulliver-Regular" w:hAnsi="Gulliver-Regular"/>
          <w:b/>
          <w:sz w:val="20"/>
        </w:rPr>
        <w:t xml:space="preserve"> </w:t>
      </w:r>
      <w:r w:rsidRPr="004E0A51">
        <w:rPr>
          <w:rFonts w:ascii="Gulliver-Regular" w:hAnsi="Gulliver-Regular"/>
          <w:sz w:val="20"/>
          <w:lang w:val="en-GB"/>
        </w:rPr>
        <w:t xml:space="preserve">is an assistant professor at the Department of System Analysis, Faculty of Informatics and Statistics, University of Economics, the Czech </w:t>
      </w:r>
      <w:proofErr w:type="gramStart"/>
      <w:r w:rsidRPr="004E0A51">
        <w:rPr>
          <w:rFonts w:ascii="Gulliver-Regular" w:hAnsi="Gulliver-Regular"/>
          <w:sz w:val="20"/>
          <w:lang w:val="en-GB"/>
        </w:rPr>
        <w:t>Republic</w:t>
      </w:r>
      <w:proofErr w:type="gramEnd"/>
      <w:r w:rsidRPr="004E0A51">
        <w:rPr>
          <w:rFonts w:ascii="Gulliver-Regular" w:hAnsi="Gulliver-Regular"/>
          <w:sz w:val="20"/>
          <w:lang w:val="en-GB"/>
        </w:rPr>
        <w:t xml:space="preserve"> and </w:t>
      </w:r>
      <w:r w:rsidRPr="004E0A51">
        <w:rPr>
          <w:rFonts w:ascii="Gulliver-Regular" w:hAnsi="Gulliver-Regular"/>
          <w:sz w:val="20"/>
        </w:rPr>
        <w:t xml:space="preserve">acts as an associate professor at the </w:t>
      </w:r>
      <w:r w:rsidRPr="004E0A51">
        <w:rPr>
          <w:rFonts w:ascii="Gulliver-Regular" w:hAnsi="Gulliver-Regular"/>
          <w:sz w:val="20"/>
          <w:lang w:val="en-GB"/>
        </w:rPr>
        <w:t xml:space="preserve">Department of Materials and Production, Faculty of Engineering and Science, Aalborg University, Denmark. He conducts interdisciplinarity research. </w:t>
      </w:r>
    </w:p>
    <w:p w14:paraId="17500D58" w14:textId="77777777" w:rsidR="004E0A51" w:rsidRPr="004E0A51" w:rsidRDefault="004E0A51" w:rsidP="004E0A51">
      <w:pPr>
        <w:widowControl/>
        <w:spacing w:before="60" w:after="60"/>
        <w:ind w:left="360" w:hanging="360"/>
        <w:rPr>
          <w:rFonts w:ascii="Gulliver-Regular" w:hAnsi="Gulliver-Regular"/>
          <w:bCs/>
          <w:sz w:val="20"/>
        </w:rPr>
      </w:pPr>
      <w:r w:rsidRPr="004E0A51">
        <w:rPr>
          <w:rFonts w:ascii="Gulliver-Regular" w:hAnsi="Gulliver-Regular"/>
          <w:b/>
          <w:sz w:val="20"/>
        </w:rPr>
        <w:t xml:space="preserve">Assoc. prof. Karin </w:t>
      </w:r>
      <w:proofErr w:type="spellStart"/>
      <w:r w:rsidRPr="004E0A51">
        <w:rPr>
          <w:rFonts w:ascii="Gulliver-Regular" w:hAnsi="Gulliver-Regular"/>
          <w:b/>
          <w:sz w:val="20"/>
        </w:rPr>
        <w:t>Cakoci</w:t>
      </w:r>
      <w:proofErr w:type="spellEnd"/>
      <w:r w:rsidRPr="004E0A51">
        <w:rPr>
          <w:rFonts w:ascii="Gulliver-Regular" w:hAnsi="Gulliver-Regular"/>
          <w:b/>
          <w:sz w:val="20"/>
        </w:rPr>
        <w:t xml:space="preserve"> </w:t>
      </w:r>
      <w:r w:rsidRPr="004E0A51">
        <w:rPr>
          <w:rFonts w:ascii="Gulliver-Regular" w:hAnsi="Gulliver-Regular"/>
          <w:bCs/>
          <w:sz w:val="20"/>
        </w:rPr>
        <w:t xml:space="preserve">is an associate professor at the Department of Financial Law, Tax Law and Economy, Faculty of Law, </w:t>
      </w:r>
      <w:proofErr w:type="spellStart"/>
      <w:r w:rsidRPr="004E0A51">
        <w:rPr>
          <w:rFonts w:ascii="Gulliver-Regular" w:hAnsi="Gulliver-Regular"/>
          <w:bCs/>
          <w:sz w:val="20"/>
        </w:rPr>
        <w:t>Pavol</w:t>
      </w:r>
      <w:proofErr w:type="spellEnd"/>
      <w:r w:rsidRPr="004E0A51">
        <w:rPr>
          <w:rFonts w:ascii="Gulliver-Regular" w:hAnsi="Gulliver-Regular"/>
          <w:bCs/>
          <w:sz w:val="20"/>
        </w:rPr>
        <w:t xml:space="preserve"> </w:t>
      </w:r>
      <w:proofErr w:type="spellStart"/>
      <w:r w:rsidRPr="004E0A51">
        <w:rPr>
          <w:rFonts w:ascii="Gulliver-Regular" w:hAnsi="Gulliver-Regular"/>
          <w:bCs/>
          <w:sz w:val="20"/>
        </w:rPr>
        <w:t>Jozef</w:t>
      </w:r>
      <w:proofErr w:type="spellEnd"/>
      <w:r w:rsidRPr="004E0A51">
        <w:rPr>
          <w:rFonts w:ascii="Gulliver-Regular" w:hAnsi="Gulliver-Regular"/>
          <w:bCs/>
          <w:sz w:val="20"/>
        </w:rPr>
        <w:t xml:space="preserve"> </w:t>
      </w:r>
      <w:proofErr w:type="spellStart"/>
      <w:r w:rsidRPr="004E0A51">
        <w:rPr>
          <w:rFonts w:ascii="Gulliver-Regular" w:hAnsi="Gulliver-Regular"/>
          <w:bCs/>
          <w:sz w:val="20"/>
        </w:rPr>
        <w:t>Šafárik</w:t>
      </w:r>
      <w:proofErr w:type="spellEnd"/>
      <w:r w:rsidRPr="004E0A51">
        <w:rPr>
          <w:rFonts w:ascii="Gulliver-Regular" w:hAnsi="Gulliver-Regular"/>
          <w:bCs/>
          <w:sz w:val="20"/>
        </w:rPr>
        <w:t xml:space="preserve"> University in </w:t>
      </w:r>
      <w:proofErr w:type="spellStart"/>
      <w:r w:rsidRPr="004E0A51">
        <w:rPr>
          <w:rFonts w:ascii="Gulliver-Regular" w:hAnsi="Gulliver-Regular"/>
          <w:bCs/>
          <w:sz w:val="20"/>
        </w:rPr>
        <w:t>Košice</w:t>
      </w:r>
      <w:proofErr w:type="spellEnd"/>
      <w:r w:rsidRPr="004E0A51">
        <w:rPr>
          <w:rFonts w:ascii="Gulliver-Regular" w:hAnsi="Gulliver-Regular"/>
          <w:bCs/>
          <w:sz w:val="20"/>
        </w:rPr>
        <w:t xml:space="preserve">, Slovak Republic. She specializes in tax law and customs law.  </w:t>
      </w:r>
    </w:p>
    <w:p w14:paraId="1D87D322" w14:textId="77777777" w:rsidR="005C16BE" w:rsidRPr="004E0A51" w:rsidRDefault="005C16BE" w:rsidP="004E0A51">
      <w:pPr>
        <w:widowControl/>
        <w:spacing w:before="120" w:after="60"/>
        <w:rPr>
          <w:rFonts w:ascii="Gulliver-Regular" w:eastAsia="Calibri" w:hAnsi="Gulliver-Regular" w:cs="Calibri"/>
          <w:bCs/>
          <w:sz w:val="20"/>
          <w:lang w:val="en-GB"/>
        </w:rPr>
      </w:pPr>
    </w:p>
    <w:sectPr w:rsidR="005C16BE" w:rsidRPr="004E0A51" w:rsidSect="000F18FD">
      <w:type w:val="continuous"/>
      <w:pgSz w:w="12240" w:h="15840" w:code="1"/>
      <w:pgMar w:top="1440" w:right="1440" w:bottom="864" w:left="1440" w:header="576" w:footer="432" w:gutter="0"/>
      <w:cols w:num="2"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202AB" w14:textId="77777777" w:rsidR="00C85E2B" w:rsidRDefault="00C85E2B" w:rsidP="0031668B">
      <w:pPr>
        <w:spacing w:after="0"/>
      </w:pPr>
      <w:r>
        <w:separator/>
      </w:r>
    </w:p>
  </w:endnote>
  <w:endnote w:type="continuationSeparator" w:id="0">
    <w:p w14:paraId="0BC9A610" w14:textId="77777777" w:rsidR="00C85E2B" w:rsidRDefault="00C85E2B" w:rsidP="00316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ulliver-Regular">
    <w:panose1 w:val="02020500000000000000"/>
    <w:charset w:val="00"/>
    <w:family w:val="roman"/>
    <w:notTrueType/>
    <w:pitch w:val="variable"/>
    <w:sig w:usb0="800000AF" w:usb1="4000204A" w:usb2="00000000" w:usb3="00000000" w:csb0="00000009"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swiss"/>
    <w:pitch w:val="variable"/>
    <w:sig w:usb0="E00002FF" w:usb1="7AC7FFFF" w:usb2="00000012" w:usb3="00000000" w:csb0="0002000D" w:csb1="00000000"/>
  </w:font>
  <w:font w:name="SwissCyrLightCondensed">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43F" w14:textId="77777777" w:rsidR="00A06418" w:rsidRDefault="00A06418">
    <w:pPr>
      <w:jc w:val="left"/>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4</w:t>
    </w:r>
    <w:r>
      <w:rPr>
        <w:rStyle w:val="PageNumbe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4F5F" w14:textId="263D07E4"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33</w:t>
    </w:r>
    <w:r w:rsidRPr="00F84004">
      <w:rPr>
        <w:rStyle w:val="PageNumber"/>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918D" w14:textId="7AD2E753" w:rsidR="00A06418" w:rsidRPr="00291603" w:rsidRDefault="00A06418" w:rsidP="00291603">
    <w:pPr>
      <w:pBdr>
        <w:top w:val="single" w:sz="4" w:space="1" w:color="auto"/>
      </w:pBdr>
      <w:jc w:val="center"/>
      <w:rPr>
        <w:sz w:val="24"/>
        <w:szCs w:val="24"/>
      </w:rPr>
    </w:pPr>
    <w:r>
      <w:rPr>
        <w:rStyle w:val="PageNumber"/>
        <w:rFonts w:ascii="Cambria" w:hAnsi="Cambria"/>
        <w:sz w:val="20"/>
      </w:rPr>
      <w:t xml:space="preserve">                                                                          </w:t>
    </w:r>
    <w:r w:rsidR="00E80AE4">
      <w:rPr>
        <w:rStyle w:val="PageNumber"/>
        <w:rFonts w:ascii="Cambria" w:hAnsi="Cambria"/>
        <w:sz w:val="20"/>
      </w:rPr>
      <w:t xml:space="preserve">     </w:t>
    </w:r>
    <w:r>
      <w:rPr>
        <w:rStyle w:val="PageNumber"/>
        <w:rFonts w:ascii="Cambria" w:hAnsi="Cambria"/>
        <w:sz w:val="20"/>
      </w:rPr>
      <w:t xml:space="preserve">    </w:t>
    </w:r>
    <w:r w:rsidRPr="00E9088B">
      <w:rPr>
        <w:rStyle w:val="PageNumber"/>
        <w:rFonts w:ascii="Cambria" w:hAnsi="Cambria"/>
        <w:sz w:val="20"/>
      </w:rPr>
      <w:t xml:space="preserve">www.ieeca.org/journal      </w:t>
    </w:r>
    <w:r>
      <w:rPr>
        <w:rStyle w:val="PageNumber"/>
        <w:rFonts w:ascii="Cambria" w:hAnsi="Cambria"/>
        <w:sz w:val="20"/>
      </w:rPr>
      <w:t xml:space="preserve">                          </w:t>
    </w:r>
    <w:r>
      <w:rPr>
        <w:rStyle w:val="PageNumber"/>
      </w:rPr>
      <w:t xml:space="preserve">                                 </w:t>
    </w:r>
    <w:r w:rsidRPr="00F84004">
      <w:rPr>
        <w:rStyle w:val="PageNumber"/>
        <w:sz w:val="20"/>
        <w:szCs w:val="24"/>
      </w:rPr>
      <w:fldChar w:fldCharType="begin"/>
    </w:r>
    <w:r w:rsidRPr="00F84004">
      <w:rPr>
        <w:rStyle w:val="PageNumber"/>
        <w:sz w:val="20"/>
        <w:szCs w:val="24"/>
      </w:rPr>
      <w:instrText xml:space="preserve"> PAGE </w:instrText>
    </w:r>
    <w:r w:rsidRPr="00F84004">
      <w:rPr>
        <w:rStyle w:val="PageNumber"/>
        <w:sz w:val="20"/>
        <w:szCs w:val="24"/>
      </w:rPr>
      <w:fldChar w:fldCharType="separate"/>
    </w:r>
    <w:r>
      <w:rPr>
        <w:rStyle w:val="PageNumber"/>
        <w:noProof/>
        <w:sz w:val="20"/>
        <w:szCs w:val="24"/>
      </w:rPr>
      <w:t>24</w:t>
    </w:r>
    <w:r w:rsidRPr="00F84004">
      <w:rPr>
        <w:rStyle w:val="PageNumber"/>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284A3" w14:textId="77777777" w:rsidR="00C85E2B" w:rsidRDefault="00C85E2B" w:rsidP="0031668B">
      <w:pPr>
        <w:spacing w:after="0"/>
      </w:pPr>
      <w:r>
        <w:separator/>
      </w:r>
    </w:p>
  </w:footnote>
  <w:footnote w:type="continuationSeparator" w:id="0">
    <w:p w14:paraId="3BAE79E3" w14:textId="77777777" w:rsidR="00C85E2B" w:rsidRDefault="00C85E2B" w:rsidP="00316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2"/>
    </w:tblGrid>
    <w:tr w:rsidR="00A06418" w14:paraId="55E1DB2D" w14:textId="77777777" w:rsidTr="00381A29">
      <w:trPr>
        <w:trHeight w:val="177"/>
      </w:trPr>
      <w:tc>
        <w:tcPr>
          <w:tcW w:w="9720" w:type="dxa"/>
          <w:tcBorders>
            <w:top w:val="nil"/>
            <w:left w:val="nil"/>
            <w:right w:val="nil"/>
          </w:tcBorders>
        </w:tcPr>
        <w:p w14:paraId="0206B1DB" w14:textId="77777777" w:rsidR="00A06418" w:rsidRDefault="00A06418" w:rsidP="00381A29">
          <w:pPr>
            <w:pStyle w:val="JIASSHeader"/>
            <w:pBdr>
              <w:top w:val="none" w:sz="0" w:space="0" w:color="auto"/>
              <w:bottom w:val="none" w:sz="0" w:space="0" w:color="auto"/>
            </w:pBdr>
          </w:pPr>
          <w:r>
            <w:t>Vol. 1 Issue1 (2014) JEECAR</w:t>
          </w:r>
        </w:p>
      </w:tc>
    </w:tr>
  </w:tbl>
  <w:p w14:paraId="54A2252A" w14:textId="77777777" w:rsidR="00A06418" w:rsidRDefault="00A06418" w:rsidP="00381A29">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6" w:type="dxa"/>
      <w:tblInd w:w="32" w:type="dxa"/>
      <w:tblLook w:val="0000" w:firstRow="0" w:lastRow="0" w:firstColumn="0" w:lastColumn="0" w:noHBand="0" w:noVBand="0"/>
    </w:tblPr>
    <w:tblGrid>
      <w:gridCol w:w="9436"/>
    </w:tblGrid>
    <w:tr w:rsidR="00A06418" w:rsidRPr="00181A4A" w14:paraId="1DEA0693" w14:textId="77777777" w:rsidTr="0011440D">
      <w:trPr>
        <w:trHeight w:val="113"/>
      </w:trPr>
      <w:tc>
        <w:tcPr>
          <w:tcW w:w="9436" w:type="dxa"/>
        </w:tcPr>
        <w:p w14:paraId="0EE90ED0" w14:textId="36010D55" w:rsidR="00A06418" w:rsidRPr="00181A4A" w:rsidRDefault="004E0A51" w:rsidP="002A502B">
          <w:pPr>
            <w:pStyle w:val="JIASSHeader"/>
            <w:pBdr>
              <w:top w:val="none" w:sz="0" w:space="0" w:color="auto"/>
              <w:bottom w:val="single" w:sz="4" w:space="1" w:color="auto"/>
            </w:pBdr>
            <w:rPr>
              <w:b/>
            </w:rPr>
          </w:pPr>
          <w:bookmarkStart w:id="0" w:name="_Hlk92195877"/>
          <w:bookmarkStart w:id="1" w:name="_Hlk92195917"/>
          <w:r w:rsidRPr="004E0A51">
            <w:rPr>
              <w:rFonts w:eastAsia="Calibri"/>
              <w:b/>
            </w:rPr>
            <w:t>The VAT gap in relation to the quality of governance</w:t>
          </w:r>
          <w:r>
            <w:rPr>
              <w:rFonts w:eastAsia="Calibri"/>
              <w:b/>
            </w:rPr>
            <w:t xml:space="preserve"> </w:t>
          </w:r>
          <w:r w:rsidR="00A06418">
            <w:rPr>
              <w:rFonts w:eastAsia="Calibri"/>
              <w:b/>
            </w:rPr>
            <w:t>…</w:t>
          </w:r>
          <w:r w:rsidR="00576E02">
            <w:rPr>
              <w:rFonts w:eastAsia="Calibri"/>
              <w:b/>
            </w:rPr>
            <w:t xml:space="preserve">    </w:t>
          </w:r>
          <w:r w:rsidR="00BD591F">
            <w:rPr>
              <w:rFonts w:eastAsia="Calibri"/>
              <w:b/>
            </w:rPr>
            <w:t xml:space="preserve">                    </w:t>
          </w:r>
          <w:r>
            <w:rPr>
              <w:rFonts w:eastAsia="Calibri"/>
              <w:b/>
            </w:rPr>
            <w:t xml:space="preserve">                         </w:t>
          </w:r>
          <w:r w:rsidR="00BD591F">
            <w:rPr>
              <w:rFonts w:eastAsia="Calibri"/>
              <w:b/>
            </w:rPr>
            <w:t xml:space="preserve">            </w:t>
          </w:r>
          <w:r w:rsidR="00824560">
            <w:rPr>
              <w:rFonts w:eastAsia="Calibri"/>
              <w:b/>
            </w:rPr>
            <w:t xml:space="preserve"> </w:t>
          </w:r>
          <w:proofErr w:type="spellStart"/>
          <w:r w:rsidRPr="004E0A51">
            <w:rPr>
              <w:b/>
            </w:rPr>
            <w:t>Cecília</w:t>
          </w:r>
          <w:proofErr w:type="spellEnd"/>
          <w:r w:rsidRPr="004E0A51">
            <w:rPr>
              <w:b/>
            </w:rPr>
            <w:t xml:space="preserve"> Olexová</w:t>
          </w:r>
          <w:bookmarkEnd w:id="0"/>
        </w:p>
      </w:tc>
    </w:tr>
    <w:bookmarkEnd w:id="1"/>
  </w:tbl>
  <w:p w14:paraId="360AF40B" w14:textId="77777777" w:rsidR="00A06418" w:rsidRPr="00C940FF" w:rsidRDefault="00A06418" w:rsidP="00181A4A">
    <w:pPr>
      <w:jc w:val="lef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6D3C" w14:textId="35389089" w:rsidR="00A06418" w:rsidRPr="001C059C" w:rsidRDefault="00A06418" w:rsidP="001C059C">
    <w:pPr>
      <w:pStyle w:val="JIASSHeader"/>
      <w:pBdr>
        <w:top w:val="none" w:sz="0" w:space="0" w:color="auto"/>
        <w:bottom w:val="single" w:sz="4" w:space="1" w:color="auto"/>
      </w:pBdr>
      <w:rPr>
        <w:b/>
      </w:rPr>
    </w:pPr>
    <w:r w:rsidRPr="004F51B7">
      <w:t xml:space="preserve">JOURNAL OF EASTERN EUROPEAN AND CENTRAL ASIAN RESEARCH  </w:t>
    </w:r>
    <w:r w:rsidR="001A619B">
      <w:t xml:space="preserve"> </w:t>
    </w:r>
    <w:r>
      <w:rPr>
        <w:b/>
      </w:rPr>
      <w:t>Vol.</w:t>
    </w:r>
    <w:r w:rsidR="00791DE9">
      <w:rPr>
        <w:b/>
      </w:rPr>
      <w:t>9</w:t>
    </w:r>
    <w:r>
      <w:rPr>
        <w:b/>
      </w:rPr>
      <w:t xml:space="preserve"> No.</w:t>
    </w:r>
    <w:r w:rsidR="0037518D">
      <w:rPr>
        <w:b/>
      </w:rPr>
      <w:t>3</w:t>
    </w:r>
    <w:r w:rsidRPr="004F51B7">
      <w:rPr>
        <w:b/>
      </w:rPr>
      <w:t xml:space="preserve"> (20</w:t>
    </w:r>
    <w:r w:rsidR="0014109C">
      <w:rPr>
        <w:b/>
      </w:rPr>
      <w:t>2</w:t>
    </w:r>
    <w:r w:rsidR="00791DE9">
      <w:rPr>
        <w:b/>
      </w:rPr>
      <w:t>2</w:t>
    </w:r>
    <w:r w:rsidRPr="004F51B7">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1037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8EFF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96D7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BE1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95492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DEA3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5AC6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222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D20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B8FF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95501"/>
    <w:multiLevelType w:val="hybridMultilevel"/>
    <w:tmpl w:val="CB344744"/>
    <w:lvl w:ilvl="0" w:tplc="E3D86972">
      <w:numFmt w:val="bullet"/>
      <w:lvlText w:val="-"/>
      <w:lvlJc w:val="left"/>
      <w:pPr>
        <w:ind w:left="540" w:hanging="360"/>
      </w:pPr>
      <w:rPr>
        <w:rFonts w:ascii="Gulliver-Regular" w:eastAsia="Calibri" w:hAnsi="Gulliver-Regular" w:cs="Times New Roman" w:hint="default"/>
      </w:rPr>
    </w:lvl>
    <w:lvl w:ilvl="1" w:tplc="041B0003">
      <w:start w:val="1"/>
      <w:numFmt w:val="bullet"/>
      <w:lvlText w:val="o"/>
      <w:lvlJc w:val="left"/>
      <w:pPr>
        <w:ind w:left="1260" w:hanging="360"/>
      </w:pPr>
      <w:rPr>
        <w:rFonts w:ascii="Courier New" w:hAnsi="Courier New" w:cs="Courier New" w:hint="default"/>
      </w:rPr>
    </w:lvl>
    <w:lvl w:ilvl="2" w:tplc="041B0005">
      <w:start w:val="1"/>
      <w:numFmt w:val="bullet"/>
      <w:lvlText w:val=""/>
      <w:lvlJc w:val="left"/>
      <w:pPr>
        <w:ind w:left="1980" w:hanging="360"/>
      </w:pPr>
      <w:rPr>
        <w:rFonts w:ascii="Wingdings" w:hAnsi="Wingdings" w:hint="default"/>
      </w:rPr>
    </w:lvl>
    <w:lvl w:ilvl="3" w:tplc="041B0001">
      <w:start w:val="1"/>
      <w:numFmt w:val="bullet"/>
      <w:lvlText w:val=""/>
      <w:lvlJc w:val="left"/>
      <w:pPr>
        <w:ind w:left="2700" w:hanging="360"/>
      </w:pPr>
      <w:rPr>
        <w:rFonts w:ascii="Symbol" w:hAnsi="Symbol" w:hint="default"/>
      </w:rPr>
    </w:lvl>
    <w:lvl w:ilvl="4" w:tplc="041B0003">
      <w:start w:val="1"/>
      <w:numFmt w:val="bullet"/>
      <w:lvlText w:val="o"/>
      <w:lvlJc w:val="left"/>
      <w:pPr>
        <w:ind w:left="3420" w:hanging="360"/>
      </w:pPr>
      <w:rPr>
        <w:rFonts w:ascii="Courier New" w:hAnsi="Courier New" w:cs="Courier New" w:hint="default"/>
      </w:rPr>
    </w:lvl>
    <w:lvl w:ilvl="5" w:tplc="041B0005">
      <w:start w:val="1"/>
      <w:numFmt w:val="bullet"/>
      <w:lvlText w:val=""/>
      <w:lvlJc w:val="left"/>
      <w:pPr>
        <w:ind w:left="4140" w:hanging="360"/>
      </w:pPr>
      <w:rPr>
        <w:rFonts w:ascii="Wingdings" w:hAnsi="Wingdings" w:hint="default"/>
      </w:rPr>
    </w:lvl>
    <w:lvl w:ilvl="6" w:tplc="041B0001">
      <w:start w:val="1"/>
      <w:numFmt w:val="bullet"/>
      <w:lvlText w:val=""/>
      <w:lvlJc w:val="left"/>
      <w:pPr>
        <w:ind w:left="4860" w:hanging="360"/>
      </w:pPr>
      <w:rPr>
        <w:rFonts w:ascii="Symbol" w:hAnsi="Symbol" w:hint="default"/>
      </w:rPr>
    </w:lvl>
    <w:lvl w:ilvl="7" w:tplc="041B0003">
      <w:start w:val="1"/>
      <w:numFmt w:val="bullet"/>
      <w:lvlText w:val="o"/>
      <w:lvlJc w:val="left"/>
      <w:pPr>
        <w:ind w:left="5580" w:hanging="360"/>
      </w:pPr>
      <w:rPr>
        <w:rFonts w:ascii="Courier New" w:hAnsi="Courier New" w:cs="Courier New" w:hint="default"/>
      </w:rPr>
    </w:lvl>
    <w:lvl w:ilvl="8" w:tplc="041B0005">
      <w:start w:val="1"/>
      <w:numFmt w:val="bullet"/>
      <w:lvlText w:val=""/>
      <w:lvlJc w:val="left"/>
      <w:pPr>
        <w:ind w:left="6300" w:hanging="360"/>
      </w:pPr>
      <w:rPr>
        <w:rFonts w:ascii="Wingdings" w:hAnsi="Wingdings" w:hint="default"/>
      </w:rPr>
    </w:lvl>
  </w:abstractNum>
  <w:abstractNum w:abstractNumId="11" w15:restartNumberingAfterBreak="0">
    <w:nsid w:val="11D25821"/>
    <w:multiLevelType w:val="hybridMultilevel"/>
    <w:tmpl w:val="924E41EE"/>
    <w:lvl w:ilvl="0" w:tplc="D2D0EBF0">
      <w:start w:val="1"/>
      <w:numFmt w:val="lowerLetter"/>
      <w:pStyle w:val="a"/>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50C33FA"/>
    <w:multiLevelType w:val="hybridMultilevel"/>
    <w:tmpl w:val="30B038A8"/>
    <w:lvl w:ilvl="0" w:tplc="0809000F">
      <w:start w:val="1"/>
      <w:numFmt w:val="decimal"/>
      <w:lvlText w:val="%1."/>
      <w:lvlJc w:val="left"/>
      <w:pPr>
        <w:ind w:left="720" w:hanging="360"/>
      </w:pPr>
      <w:rPr>
        <w:rFonts w:hint="default"/>
      </w:rPr>
    </w:lvl>
    <w:lvl w:ilvl="1" w:tplc="24A2C60E">
      <w:start w:val="1"/>
      <w:numFmt w:val="decimal"/>
      <w:lvlText w:val="(%2)"/>
      <w:lvlJc w:val="left"/>
      <w:pPr>
        <w:ind w:left="1440" w:hanging="360"/>
      </w:pPr>
      <w:rPr>
        <w:rFonts w:hint="default"/>
      </w:rPr>
    </w:lvl>
    <w:lvl w:ilvl="2" w:tplc="108E7B24">
      <w:numFmt w:val="bullet"/>
      <w:lvlText w:val="•"/>
      <w:lvlJc w:val="left"/>
      <w:pPr>
        <w:ind w:left="2160" w:hanging="360"/>
      </w:pPr>
      <w:rPr>
        <w:rFonts w:ascii="Gulliver-Regular" w:eastAsia="Calibri" w:hAnsi="Gulliver-Regular"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E25CD"/>
    <w:multiLevelType w:val="hybridMultilevel"/>
    <w:tmpl w:val="2452C97A"/>
    <w:lvl w:ilvl="0" w:tplc="DD323FBC">
      <w:start w:val="1"/>
      <w:numFmt w:val="bullet"/>
      <w:pStyle w:val="Indentation"/>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50A245F"/>
    <w:multiLevelType w:val="hybridMultilevel"/>
    <w:tmpl w:val="19F4EE0A"/>
    <w:lvl w:ilvl="0" w:tplc="7D20B780">
      <w:start w:val="1"/>
      <w:numFmt w:val="decimal"/>
      <w:pStyle w:val="MDPI71References"/>
      <w:lvlText w:val="%1."/>
      <w:lvlJc w:val="left"/>
      <w:pPr>
        <w:ind w:left="780" w:hanging="420"/>
      </w:pPr>
      <w:rPr>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6802B59"/>
    <w:multiLevelType w:val="hybridMultilevel"/>
    <w:tmpl w:val="8108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30249"/>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A3057"/>
    <w:multiLevelType w:val="hybridMultilevel"/>
    <w:tmpl w:val="3B14F6C2"/>
    <w:lvl w:ilvl="0" w:tplc="04090001">
      <w:start w:val="1"/>
      <w:numFmt w:val="bullet"/>
      <w:lvlText w:val=""/>
      <w:lvlJc w:val="left"/>
      <w:pPr>
        <w:ind w:left="540" w:hanging="360"/>
      </w:pPr>
      <w:rPr>
        <w:rFonts w:ascii="Symbol" w:hAnsi="Symbol" w:hint="default"/>
      </w:rPr>
    </w:lvl>
    <w:lvl w:ilvl="1" w:tplc="FFFFFFFF">
      <w:start w:val="1"/>
      <w:numFmt w:val="bullet"/>
      <w:lvlText w:val="o"/>
      <w:lvlJc w:val="left"/>
      <w:pPr>
        <w:ind w:left="1260" w:hanging="360"/>
      </w:pPr>
      <w:rPr>
        <w:rFonts w:ascii="Courier New" w:hAnsi="Courier New" w:cs="Courier New" w:hint="default"/>
      </w:rPr>
    </w:lvl>
    <w:lvl w:ilvl="2" w:tplc="FFFFFFFF">
      <w:start w:val="1"/>
      <w:numFmt w:val="bullet"/>
      <w:lvlText w:val=""/>
      <w:lvlJc w:val="left"/>
      <w:pPr>
        <w:ind w:left="1980" w:hanging="360"/>
      </w:pPr>
      <w:rPr>
        <w:rFonts w:ascii="Wingdings" w:hAnsi="Wingdings" w:hint="default"/>
      </w:rPr>
    </w:lvl>
    <w:lvl w:ilvl="3" w:tplc="FFFFFFFF">
      <w:start w:val="1"/>
      <w:numFmt w:val="bullet"/>
      <w:lvlText w:val=""/>
      <w:lvlJc w:val="left"/>
      <w:pPr>
        <w:ind w:left="2700" w:hanging="360"/>
      </w:pPr>
      <w:rPr>
        <w:rFonts w:ascii="Symbol" w:hAnsi="Symbol" w:hint="default"/>
      </w:rPr>
    </w:lvl>
    <w:lvl w:ilvl="4" w:tplc="FFFFFFFF">
      <w:start w:val="1"/>
      <w:numFmt w:val="bullet"/>
      <w:lvlText w:val="o"/>
      <w:lvlJc w:val="left"/>
      <w:pPr>
        <w:ind w:left="3420" w:hanging="360"/>
      </w:pPr>
      <w:rPr>
        <w:rFonts w:ascii="Courier New" w:hAnsi="Courier New" w:cs="Courier New" w:hint="default"/>
      </w:rPr>
    </w:lvl>
    <w:lvl w:ilvl="5" w:tplc="FFFFFFFF">
      <w:start w:val="1"/>
      <w:numFmt w:val="bullet"/>
      <w:lvlText w:val=""/>
      <w:lvlJc w:val="left"/>
      <w:pPr>
        <w:ind w:left="4140" w:hanging="360"/>
      </w:pPr>
      <w:rPr>
        <w:rFonts w:ascii="Wingdings" w:hAnsi="Wingdings" w:hint="default"/>
      </w:rPr>
    </w:lvl>
    <w:lvl w:ilvl="6" w:tplc="FFFFFFFF">
      <w:start w:val="1"/>
      <w:numFmt w:val="bullet"/>
      <w:lvlText w:val=""/>
      <w:lvlJc w:val="left"/>
      <w:pPr>
        <w:ind w:left="4860" w:hanging="360"/>
      </w:pPr>
      <w:rPr>
        <w:rFonts w:ascii="Symbol" w:hAnsi="Symbol" w:hint="default"/>
      </w:rPr>
    </w:lvl>
    <w:lvl w:ilvl="7" w:tplc="FFFFFFFF">
      <w:start w:val="1"/>
      <w:numFmt w:val="bullet"/>
      <w:lvlText w:val="o"/>
      <w:lvlJc w:val="left"/>
      <w:pPr>
        <w:ind w:left="5580" w:hanging="360"/>
      </w:pPr>
      <w:rPr>
        <w:rFonts w:ascii="Courier New" w:hAnsi="Courier New" w:cs="Courier New" w:hint="default"/>
      </w:rPr>
    </w:lvl>
    <w:lvl w:ilvl="8" w:tplc="FFFFFFFF">
      <w:start w:val="1"/>
      <w:numFmt w:val="bullet"/>
      <w:lvlText w:val=""/>
      <w:lvlJc w:val="left"/>
      <w:pPr>
        <w:ind w:left="6300" w:hanging="360"/>
      </w:pPr>
      <w:rPr>
        <w:rFonts w:ascii="Wingdings" w:hAnsi="Wingdings" w:hint="default"/>
      </w:rPr>
    </w:lvl>
  </w:abstractNum>
  <w:abstractNum w:abstractNumId="18" w15:restartNumberingAfterBreak="0">
    <w:nsid w:val="31245E17"/>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07851"/>
    <w:multiLevelType w:val="hybridMultilevel"/>
    <w:tmpl w:val="BF92FF08"/>
    <w:lvl w:ilvl="0" w:tplc="5FD4BB40">
      <w:start w:val="1"/>
      <w:numFmt w:val="decimal"/>
      <w:pStyle w:val="Sectionheading"/>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720"/>
        </w:tabs>
        <w:ind w:left="72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7BE079F"/>
    <w:multiLevelType w:val="multilevel"/>
    <w:tmpl w:val="B41C13EA"/>
    <w:lvl w:ilvl="0">
      <w:start w:val="1"/>
      <w:numFmt w:val="decimal"/>
      <w:lvlText w:val="%1."/>
      <w:lvlJc w:val="left"/>
      <w:pPr>
        <w:ind w:left="720" w:hanging="360"/>
      </w:pPr>
      <w:rPr>
        <w:rFonts w:hint="default"/>
      </w:rPr>
    </w:lvl>
    <w:lvl w:ilvl="1">
      <w:start w:val="1"/>
      <w:numFmt w:val="decimal"/>
      <w:pStyle w:val="Sub-sectionheading"/>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1D2441"/>
    <w:multiLevelType w:val="hybridMultilevel"/>
    <w:tmpl w:val="BEB6CD90"/>
    <w:lvl w:ilvl="0" w:tplc="04090001">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3" w15:restartNumberingAfterBreak="0">
    <w:nsid w:val="4A305D74"/>
    <w:multiLevelType w:val="hybridMultilevel"/>
    <w:tmpl w:val="041C21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2025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41025"/>
    <w:multiLevelType w:val="hybridMultilevel"/>
    <w:tmpl w:val="368AA8A8"/>
    <w:lvl w:ilvl="0" w:tplc="2608863C">
      <w:start w:val="1"/>
      <w:numFmt w:val="bullet"/>
      <w:lvlText w:val="­"/>
      <w:lvlJc w:val="left"/>
      <w:pPr>
        <w:ind w:left="900" w:hanging="360"/>
      </w:pPr>
      <w:rPr>
        <w:rFonts w:ascii="Courier New" w:hAnsi="Courier New" w:cs="Times New Roman"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start w:val="1"/>
      <w:numFmt w:val="bullet"/>
      <w:lvlText w:val=""/>
      <w:lvlJc w:val="left"/>
      <w:pPr>
        <w:ind w:left="3060" w:hanging="360"/>
      </w:pPr>
      <w:rPr>
        <w:rFonts w:ascii="Symbol" w:hAnsi="Symbol" w:hint="default"/>
      </w:rPr>
    </w:lvl>
    <w:lvl w:ilvl="4" w:tplc="041B0003">
      <w:start w:val="1"/>
      <w:numFmt w:val="bullet"/>
      <w:lvlText w:val="o"/>
      <w:lvlJc w:val="left"/>
      <w:pPr>
        <w:ind w:left="3780" w:hanging="360"/>
      </w:pPr>
      <w:rPr>
        <w:rFonts w:ascii="Courier New" w:hAnsi="Courier New" w:cs="Courier New" w:hint="default"/>
      </w:rPr>
    </w:lvl>
    <w:lvl w:ilvl="5" w:tplc="041B0005">
      <w:start w:val="1"/>
      <w:numFmt w:val="bullet"/>
      <w:lvlText w:val=""/>
      <w:lvlJc w:val="left"/>
      <w:pPr>
        <w:ind w:left="4500" w:hanging="360"/>
      </w:pPr>
      <w:rPr>
        <w:rFonts w:ascii="Wingdings" w:hAnsi="Wingdings" w:hint="default"/>
      </w:rPr>
    </w:lvl>
    <w:lvl w:ilvl="6" w:tplc="041B0001">
      <w:start w:val="1"/>
      <w:numFmt w:val="bullet"/>
      <w:lvlText w:val=""/>
      <w:lvlJc w:val="left"/>
      <w:pPr>
        <w:ind w:left="5220" w:hanging="360"/>
      </w:pPr>
      <w:rPr>
        <w:rFonts w:ascii="Symbol" w:hAnsi="Symbol" w:hint="default"/>
      </w:rPr>
    </w:lvl>
    <w:lvl w:ilvl="7" w:tplc="041B0003">
      <w:start w:val="1"/>
      <w:numFmt w:val="bullet"/>
      <w:lvlText w:val="o"/>
      <w:lvlJc w:val="left"/>
      <w:pPr>
        <w:ind w:left="5940" w:hanging="360"/>
      </w:pPr>
      <w:rPr>
        <w:rFonts w:ascii="Courier New" w:hAnsi="Courier New" w:cs="Courier New" w:hint="default"/>
      </w:rPr>
    </w:lvl>
    <w:lvl w:ilvl="8" w:tplc="041B0005">
      <w:start w:val="1"/>
      <w:numFmt w:val="bullet"/>
      <w:lvlText w:val=""/>
      <w:lvlJc w:val="left"/>
      <w:pPr>
        <w:ind w:left="6660" w:hanging="360"/>
      </w:pPr>
      <w:rPr>
        <w:rFonts w:ascii="Wingdings" w:hAnsi="Wingdings" w:hint="default"/>
      </w:rPr>
    </w:lvl>
  </w:abstractNum>
  <w:abstractNum w:abstractNumId="26" w15:restartNumberingAfterBreak="0">
    <w:nsid w:val="64920033"/>
    <w:multiLevelType w:val="hybridMultilevel"/>
    <w:tmpl w:val="A8A8A1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D7160"/>
    <w:multiLevelType w:val="hybridMultilevel"/>
    <w:tmpl w:val="951CC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6E1D7F"/>
    <w:multiLevelType w:val="hybridMultilevel"/>
    <w:tmpl w:val="8BDE61CE"/>
    <w:lvl w:ilvl="0" w:tplc="08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121EB"/>
    <w:multiLevelType w:val="hybridMultilevel"/>
    <w:tmpl w:val="F5160622"/>
    <w:lvl w:ilvl="0" w:tplc="10D64D6E">
      <w:start w:val="1"/>
      <w:numFmt w:val="decimal"/>
      <w:pStyle w:val="JIASSRefs"/>
      <w:lvlText w:val="[%1]"/>
      <w:lvlJc w:val="left"/>
      <w:pPr>
        <w:tabs>
          <w:tab w:val="num" w:pos="567"/>
        </w:tabs>
        <w:ind w:left="567" w:hanging="567"/>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6367022">
    <w:abstractNumId w:val="29"/>
  </w:num>
  <w:num w:numId="2" w16cid:durableId="68171263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787192">
    <w:abstractNumId w:val="0"/>
  </w:num>
  <w:num w:numId="4" w16cid:durableId="521092351">
    <w:abstractNumId w:val="1"/>
  </w:num>
  <w:num w:numId="5" w16cid:durableId="1395473923">
    <w:abstractNumId w:val="2"/>
  </w:num>
  <w:num w:numId="6" w16cid:durableId="972709582">
    <w:abstractNumId w:val="3"/>
  </w:num>
  <w:num w:numId="7" w16cid:durableId="914515616">
    <w:abstractNumId w:val="4"/>
  </w:num>
  <w:num w:numId="8" w16cid:durableId="1589390532">
    <w:abstractNumId w:val="5"/>
  </w:num>
  <w:num w:numId="9" w16cid:durableId="620652783">
    <w:abstractNumId w:val="6"/>
  </w:num>
  <w:num w:numId="10" w16cid:durableId="1769695722">
    <w:abstractNumId w:val="7"/>
  </w:num>
  <w:num w:numId="11" w16cid:durableId="537354112">
    <w:abstractNumId w:val="8"/>
  </w:num>
  <w:num w:numId="12" w16cid:durableId="759716626">
    <w:abstractNumId w:val="9"/>
  </w:num>
  <w:num w:numId="13" w16cid:durableId="1554851626">
    <w:abstractNumId w:val="21"/>
  </w:num>
  <w:num w:numId="14" w16cid:durableId="2078358213">
    <w:abstractNumId w:val="19"/>
  </w:num>
  <w:num w:numId="15" w16cid:durableId="1824467271">
    <w:abstractNumId w:val="13"/>
  </w:num>
  <w:num w:numId="16" w16cid:durableId="1307592904">
    <w:abstractNumId w:val="23"/>
  </w:num>
  <w:num w:numId="17" w16cid:durableId="1627006662">
    <w:abstractNumId w:val="16"/>
  </w:num>
  <w:num w:numId="18" w16cid:durableId="124321797">
    <w:abstractNumId w:val="12"/>
  </w:num>
  <w:num w:numId="19" w16cid:durableId="705562058">
    <w:abstractNumId w:val="24"/>
  </w:num>
  <w:num w:numId="20" w16cid:durableId="355237493">
    <w:abstractNumId w:val="18"/>
  </w:num>
  <w:num w:numId="21" w16cid:durableId="2079669706">
    <w:abstractNumId w:val="26"/>
  </w:num>
  <w:num w:numId="22" w16cid:durableId="769812189">
    <w:abstractNumId w:val="20"/>
  </w:num>
  <w:num w:numId="23" w16cid:durableId="1220282964">
    <w:abstractNumId w:val="27"/>
  </w:num>
  <w:num w:numId="24" w16cid:durableId="1758208617">
    <w:abstractNumId w:val="28"/>
  </w:num>
  <w:num w:numId="25" w16cid:durableId="1210730647">
    <w:abstractNumId w:val="15"/>
  </w:num>
  <w:num w:numId="26" w16cid:durableId="2146195112">
    <w:abstractNumId w:val="11"/>
    <w:lvlOverride w:ilvl="0">
      <w:startOverride w:val="1"/>
    </w:lvlOverride>
    <w:lvlOverride w:ilvl="1"/>
    <w:lvlOverride w:ilvl="2"/>
    <w:lvlOverride w:ilvl="3"/>
    <w:lvlOverride w:ilvl="4"/>
    <w:lvlOverride w:ilvl="5"/>
    <w:lvlOverride w:ilvl="6"/>
    <w:lvlOverride w:ilvl="7"/>
    <w:lvlOverride w:ilvl="8"/>
  </w:num>
  <w:num w:numId="27" w16cid:durableId="728306682">
    <w:abstractNumId w:val="25"/>
  </w:num>
  <w:num w:numId="28" w16cid:durableId="325591443">
    <w:abstractNumId w:val="10"/>
  </w:num>
  <w:num w:numId="29" w16cid:durableId="1696422694">
    <w:abstractNumId w:val="25"/>
  </w:num>
  <w:num w:numId="30" w16cid:durableId="2119597927">
    <w:abstractNumId w:val="22"/>
  </w:num>
  <w:num w:numId="31" w16cid:durableId="768039062">
    <w:abstractNumId w:val="10"/>
  </w:num>
  <w:num w:numId="32" w16cid:durableId="770127669">
    <w:abstractNumId w:val="17"/>
  </w:num>
  <w:num w:numId="33" w16cid:durableId="105002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s-E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6" w:nlCheck="1" w:checkStyle="1"/>
  <w:activeWritingStyle w:appName="MSWord" w:lang="ru-RU" w:vendorID="64" w:dllVersion="6" w:nlCheck="1" w:checkStyle="0"/>
  <w:activeWritingStyle w:appName="MSWord" w:lang="es-MX" w:vendorID="64" w:dllVersion="6"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s-ES" w:vendorID="64" w:dllVersion="0" w:nlCheck="1" w:checkStyle="0"/>
  <w:activeWritingStyle w:appName="MSWord" w:lang="fr-CH"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xNTAwNAASpobmpko6SsGpxcWZ+XkgBUYmtQBZslwvLQAAAA=="/>
  </w:docVars>
  <w:rsids>
    <w:rsidRoot w:val="0014414A"/>
    <w:rsid w:val="000005D5"/>
    <w:rsid w:val="00003794"/>
    <w:rsid w:val="000125A8"/>
    <w:rsid w:val="000125C5"/>
    <w:rsid w:val="000139BE"/>
    <w:rsid w:val="00013F8C"/>
    <w:rsid w:val="0002027B"/>
    <w:rsid w:val="000217FD"/>
    <w:rsid w:val="00023395"/>
    <w:rsid w:val="000233D8"/>
    <w:rsid w:val="00026D5E"/>
    <w:rsid w:val="00026F80"/>
    <w:rsid w:val="000316CE"/>
    <w:rsid w:val="00042099"/>
    <w:rsid w:val="00043FA3"/>
    <w:rsid w:val="00044D22"/>
    <w:rsid w:val="00045C33"/>
    <w:rsid w:val="0004666D"/>
    <w:rsid w:val="00050350"/>
    <w:rsid w:val="00051754"/>
    <w:rsid w:val="000547E8"/>
    <w:rsid w:val="000553D7"/>
    <w:rsid w:val="00061A1A"/>
    <w:rsid w:val="00065AF2"/>
    <w:rsid w:val="0006687E"/>
    <w:rsid w:val="00067BD8"/>
    <w:rsid w:val="000710B1"/>
    <w:rsid w:val="0007214B"/>
    <w:rsid w:val="00072E17"/>
    <w:rsid w:val="0007470F"/>
    <w:rsid w:val="00080355"/>
    <w:rsid w:val="000830E1"/>
    <w:rsid w:val="000832E2"/>
    <w:rsid w:val="0008390A"/>
    <w:rsid w:val="000855DC"/>
    <w:rsid w:val="00092B50"/>
    <w:rsid w:val="000937CA"/>
    <w:rsid w:val="00096FB5"/>
    <w:rsid w:val="000977B6"/>
    <w:rsid w:val="000A0B8D"/>
    <w:rsid w:val="000A2920"/>
    <w:rsid w:val="000A2D27"/>
    <w:rsid w:val="000A32D9"/>
    <w:rsid w:val="000A3EF4"/>
    <w:rsid w:val="000A50C0"/>
    <w:rsid w:val="000A5746"/>
    <w:rsid w:val="000A75D9"/>
    <w:rsid w:val="000A7648"/>
    <w:rsid w:val="000B3682"/>
    <w:rsid w:val="000B5C87"/>
    <w:rsid w:val="000C3574"/>
    <w:rsid w:val="000C3F06"/>
    <w:rsid w:val="000C42F5"/>
    <w:rsid w:val="000D0D5F"/>
    <w:rsid w:val="000D124C"/>
    <w:rsid w:val="000D1EB7"/>
    <w:rsid w:val="000D391D"/>
    <w:rsid w:val="000D461D"/>
    <w:rsid w:val="000E24B1"/>
    <w:rsid w:val="000E29B6"/>
    <w:rsid w:val="000E5AE5"/>
    <w:rsid w:val="000E74EB"/>
    <w:rsid w:val="000E7EF0"/>
    <w:rsid w:val="000F18FD"/>
    <w:rsid w:val="001049EB"/>
    <w:rsid w:val="0010509F"/>
    <w:rsid w:val="0010532D"/>
    <w:rsid w:val="00105922"/>
    <w:rsid w:val="0010601C"/>
    <w:rsid w:val="00106558"/>
    <w:rsid w:val="0010791D"/>
    <w:rsid w:val="0011099D"/>
    <w:rsid w:val="0011440D"/>
    <w:rsid w:val="00114AA9"/>
    <w:rsid w:val="001213CB"/>
    <w:rsid w:val="00123026"/>
    <w:rsid w:val="00137AC9"/>
    <w:rsid w:val="0014109C"/>
    <w:rsid w:val="0014414A"/>
    <w:rsid w:val="00150B89"/>
    <w:rsid w:val="0015504B"/>
    <w:rsid w:val="001566AB"/>
    <w:rsid w:val="00171023"/>
    <w:rsid w:val="00171443"/>
    <w:rsid w:val="00173138"/>
    <w:rsid w:val="00174E8A"/>
    <w:rsid w:val="001759DB"/>
    <w:rsid w:val="00181A4A"/>
    <w:rsid w:val="00183EDB"/>
    <w:rsid w:val="001878C3"/>
    <w:rsid w:val="001901EA"/>
    <w:rsid w:val="00193027"/>
    <w:rsid w:val="001A1453"/>
    <w:rsid w:val="001A5468"/>
    <w:rsid w:val="001A619B"/>
    <w:rsid w:val="001B1862"/>
    <w:rsid w:val="001B3D72"/>
    <w:rsid w:val="001B3EF4"/>
    <w:rsid w:val="001B4184"/>
    <w:rsid w:val="001B5486"/>
    <w:rsid w:val="001C059C"/>
    <w:rsid w:val="001C18FB"/>
    <w:rsid w:val="001C6688"/>
    <w:rsid w:val="001C67B2"/>
    <w:rsid w:val="001C7F4F"/>
    <w:rsid w:val="001E0195"/>
    <w:rsid w:val="001E234D"/>
    <w:rsid w:val="001E438E"/>
    <w:rsid w:val="001E47C9"/>
    <w:rsid w:val="001E7593"/>
    <w:rsid w:val="001F5204"/>
    <w:rsid w:val="001F730B"/>
    <w:rsid w:val="00202E85"/>
    <w:rsid w:val="0020719F"/>
    <w:rsid w:val="002115ED"/>
    <w:rsid w:val="002130AB"/>
    <w:rsid w:val="00214544"/>
    <w:rsid w:val="00216C8C"/>
    <w:rsid w:val="00221245"/>
    <w:rsid w:val="00222DFE"/>
    <w:rsid w:val="002230D3"/>
    <w:rsid w:val="00227C45"/>
    <w:rsid w:val="002315D8"/>
    <w:rsid w:val="00232570"/>
    <w:rsid w:val="00233022"/>
    <w:rsid w:val="00235369"/>
    <w:rsid w:val="00235725"/>
    <w:rsid w:val="00236252"/>
    <w:rsid w:val="00242A40"/>
    <w:rsid w:val="002450AC"/>
    <w:rsid w:val="00245388"/>
    <w:rsid w:val="002455CB"/>
    <w:rsid w:val="0025396F"/>
    <w:rsid w:val="00254167"/>
    <w:rsid w:val="00263C42"/>
    <w:rsid w:val="00264E51"/>
    <w:rsid w:val="00265090"/>
    <w:rsid w:val="002709E0"/>
    <w:rsid w:val="00272591"/>
    <w:rsid w:val="00284F20"/>
    <w:rsid w:val="002874A0"/>
    <w:rsid w:val="00291603"/>
    <w:rsid w:val="00295056"/>
    <w:rsid w:val="00295A52"/>
    <w:rsid w:val="002A07DC"/>
    <w:rsid w:val="002A1683"/>
    <w:rsid w:val="002A1B3B"/>
    <w:rsid w:val="002A26FE"/>
    <w:rsid w:val="002A4A81"/>
    <w:rsid w:val="002A502B"/>
    <w:rsid w:val="002B0C6D"/>
    <w:rsid w:val="002B35EC"/>
    <w:rsid w:val="002B3E04"/>
    <w:rsid w:val="002B3F36"/>
    <w:rsid w:val="002C1EF6"/>
    <w:rsid w:val="002C5100"/>
    <w:rsid w:val="002C5661"/>
    <w:rsid w:val="002D57B2"/>
    <w:rsid w:val="002D582A"/>
    <w:rsid w:val="002E51E6"/>
    <w:rsid w:val="002E5D96"/>
    <w:rsid w:val="003026BB"/>
    <w:rsid w:val="00303F6E"/>
    <w:rsid w:val="00310CAA"/>
    <w:rsid w:val="00313B63"/>
    <w:rsid w:val="00314E5D"/>
    <w:rsid w:val="00315ED0"/>
    <w:rsid w:val="0031668B"/>
    <w:rsid w:val="003225C0"/>
    <w:rsid w:val="003226CA"/>
    <w:rsid w:val="00325FA0"/>
    <w:rsid w:val="003308F4"/>
    <w:rsid w:val="00336001"/>
    <w:rsid w:val="00336A6C"/>
    <w:rsid w:val="00343302"/>
    <w:rsid w:val="0035073B"/>
    <w:rsid w:val="00350794"/>
    <w:rsid w:val="003513CF"/>
    <w:rsid w:val="0035151B"/>
    <w:rsid w:val="003519BD"/>
    <w:rsid w:val="00357AD1"/>
    <w:rsid w:val="003654B6"/>
    <w:rsid w:val="00366415"/>
    <w:rsid w:val="00366440"/>
    <w:rsid w:val="00366863"/>
    <w:rsid w:val="003730F9"/>
    <w:rsid w:val="00373292"/>
    <w:rsid w:val="0037518D"/>
    <w:rsid w:val="003761EB"/>
    <w:rsid w:val="003766B6"/>
    <w:rsid w:val="00381A29"/>
    <w:rsid w:val="003827A9"/>
    <w:rsid w:val="00384646"/>
    <w:rsid w:val="00384F99"/>
    <w:rsid w:val="00386F20"/>
    <w:rsid w:val="00387FD2"/>
    <w:rsid w:val="0039323D"/>
    <w:rsid w:val="00393557"/>
    <w:rsid w:val="0039400B"/>
    <w:rsid w:val="0039521E"/>
    <w:rsid w:val="00395FC4"/>
    <w:rsid w:val="003A789A"/>
    <w:rsid w:val="003B0141"/>
    <w:rsid w:val="003B0782"/>
    <w:rsid w:val="003B3FE2"/>
    <w:rsid w:val="003B45BA"/>
    <w:rsid w:val="003B7FE3"/>
    <w:rsid w:val="003C3319"/>
    <w:rsid w:val="003C6144"/>
    <w:rsid w:val="003C7DC3"/>
    <w:rsid w:val="003D2BE7"/>
    <w:rsid w:val="003D7384"/>
    <w:rsid w:val="003E22BD"/>
    <w:rsid w:val="003E4B45"/>
    <w:rsid w:val="003E74EE"/>
    <w:rsid w:val="003E7AA0"/>
    <w:rsid w:val="003F0C4D"/>
    <w:rsid w:val="003F4C94"/>
    <w:rsid w:val="00400AA7"/>
    <w:rsid w:val="004038A3"/>
    <w:rsid w:val="00405568"/>
    <w:rsid w:val="0040729C"/>
    <w:rsid w:val="004076B1"/>
    <w:rsid w:val="00412203"/>
    <w:rsid w:val="00415A68"/>
    <w:rsid w:val="00416AEE"/>
    <w:rsid w:val="00420477"/>
    <w:rsid w:val="00420F3D"/>
    <w:rsid w:val="004255AF"/>
    <w:rsid w:val="0042575A"/>
    <w:rsid w:val="004279FB"/>
    <w:rsid w:val="0043111A"/>
    <w:rsid w:val="00431174"/>
    <w:rsid w:val="00432472"/>
    <w:rsid w:val="00433C7A"/>
    <w:rsid w:val="00452D74"/>
    <w:rsid w:val="00457D25"/>
    <w:rsid w:val="00460215"/>
    <w:rsid w:val="004614E6"/>
    <w:rsid w:val="004673FD"/>
    <w:rsid w:val="00470E97"/>
    <w:rsid w:val="00471F76"/>
    <w:rsid w:val="004748C8"/>
    <w:rsid w:val="004862FA"/>
    <w:rsid w:val="00487F7F"/>
    <w:rsid w:val="0049224E"/>
    <w:rsid w:val="004923EE"/>
    <w:rsid w:val="004A0E32"/>
    <w:rsid w:val="004A2B7B"/>
    <w:rsid w:val="004A3A8C"/>
    <w:rsid w:val="004A4241"/>
    <w:rsid w:val="004A46D1"/>
    <w:rsid w:val="004A7F08"/>
    <w:rsid w:val="004B01B7"/>
    <w:rsid w:val="004B1A97"/>
    <w:rsid w:val="004B3A22"/>
    <w:rsid w:val="004B6413"/>
    <w:rsid w:val="004B70DF"/>
    <w:rsid w:val="004C109D"/>
    <w:rsid w:val="004C65D1"/>
    <w:rsid w:val="004C7066"/>
    <w:rsid w:val="004D0F37"/>
    <w:rsid w:val="004D137C"/>
    <w:rsid w:val="004D1D61"/>
    <w:rsid w:val="004D1E3D"/>
    <w:rsid w:val="004D2A31"/>
    <w:rsid w:val="004D4E8C"/>
    <w:rsid w:val="004D5430"/>
    <w:rsid w:val="004E0A51"/>
    <w:rsid w:val="004E4C01"/>
    <w:rsid w:val="004E4F12"/>
    <w:rsid w:val="004F2380"/>
    <w:rsid w:val="004F51B7"/>
    <w:rsid w:val="004F6C55"/>
    <w:rsid w:val="00503B4C"/>
    <w:rsid w:val="00505708"/>
    <w:rsid w:val="0051059B"/>
    <w:rsid w:val="005124B1"/>
    <w:rsid w:val="005130CC"/>
    <w:rsid w:val="00515774"/>
    <w:rsid w:val="005177DB"/>
    <w:rsid w:val="00523204"/>
    <w:rsid w:val="005271C8"/>
    <w:rsid w:val="00527928"/>
    <w:rsid w:val="00530880"/>
    <w:rsid w:val="00531FA1"/>
    <w:rsid w:val="00532D86"/>
    <w:rsid w:val="0053470E"/>
    <w:rsid w:val="005359F3"/>
    <w:rsid w:val="00540BA3"/>
    <w:rsid w:val="00541D2F"/>
    <w:rsid w:val="00543B04"/>
    <w:rsid w:val="00543EE9"/>
    <w:rsid w:val="00545352"/>
    <w:rsid w:val="005468A8"/>
    <w:rsid w:val="00550036"/>
    <w:rsid w:val="00551600"/>
    <w:rsid w:val="005535B5"/>
    <w:rsid w:val="005551E8"/>
    <w:rsid w:val="00555E3A"/>
    <w:rsid w:val="00565C51"/>
    <w:rsid w:val="00566442"/>
    <w:rsid w:val="00566445"/>
    <w:rsid w:val="00576E02"/>
    <w:rsid w:val="00580BF0"/>
    <w:rsid w:val="00580D0C"/>
    <w:rsid w:val="005919B5"/>
    <w:rsid w:val="00592DFA"/>
    <w:rsid w:val="00595B0C"/>
    <w:rsid w:val="00597250"/>
    <w:rsid w:val="005A1395"/>
    <w:rsid w:val="005A1B41"/>
    <w:rsid w:val="005A29FD"/>
    <w:rsid w:val="005A3A06"/>
    <w:rsid w:val="005B6B08"/>
    <w:rsid w:val="005C0391"/>
    <w:rsid w:val="005C1466"/>
    <w:rsid w:val="005C16BE"/>
    <w:rsid w:val="005C36A5"/>
    <w:rsid w:val="005C50F4"/>
    <w:rsid w:val="005C594D"/>
    <w:rsid w:val="005C710C"/>
    <w:rsid w:val="005C73C8"/>
    <w:rsid w:val="005C7B32"/>
    <w:rsid w:val="005D3A9A"/>
    <w:rsid w:val="005D7750"/>
    <w:rsid w:val="005F661F"/>
    <w:rsid w:val="005F7B1C"/>
    <w:rsid w:val="00603833"/>
    <w:rsid w:val="0061307A"/>
    <w:rsid w:val="0061344C"/>
    <w:rsid w:val="00615CC2"/>
    <w:rsid w:val="006207C6"/>
    <w:rsid w:val="00620B90"/>
    <w:rsid w:val="00625C00"/>
    <w:rsid w:val="00625C62"/>
    <w:rsid w:val="00627155"/>
    <w:rsid w:val="0063053C"/>
    <w:rsid w:val="00631ED1"/>
    <w:rsid w:val="00642213"/>
    <w:rsid w:val="00647B81"/>
    <w:rsid w:val="0065253C"/>
    <w:rsid w:val="00654467"/>
    <w:rsid w:val="00660A4C"/>
    <w:rsid w:val="00661EBD"/>
    <w:rsid w:val="00662133"/>
    <w:rsid w:val="00662DAB"/>
    <w:rsid w:val="00664FED"/>
    <w:rsid w:val="0066693B"/>
    <w:rsid w:val="00666A20"/>
    <w:rsid w:val="00674049"/>
    <w:rsid w:val="00675FBA"/>
    <w:rsid w:val="00676AC8"/>
    <w:rsid w:val="00677582"/>
    <w:rsid w:val="00683294"/>
    <w:rsid w:val="00684E15"/>
    <w:rsid w:val="0068795A"/>
    <w:rsid w:val="00690514"/>
    <w:rsid w:val="00690B1F"/>
    <w:rsid w:val="00694E00"/>
    <w:rsid w:val="00695A65"/>
    <w:rsid w:val="006975C7"/>
    <w:rsid w:val="0069767A"/>
    <w:rsid w:val="006A4F87"/>
    <w:rsid w:val="006A52F0"/>
    <w:rsid w:val="006A6106"/>
    <w:rsid w:val="006A7903"/>
    <w:rsid w:val="006B1714"/>
    <w:rsid w:val="006B35ED"/>
    <w:rsid w:val="006B41D1"/>
    <w:rsid w:val="006C3F57"/>
    <w:rsid w:val="006C57D4"/>
    <w:rsid w:val="006D53E7"/>
    <w:rsid w:val="006D74BC"/>
    <w:rsid w:val="006E0C72"/>
    <w:rsid w:val="006E60F7"/>
    <w:rsid w:val="006F04CA"/>
    <w:rsid w:val="006F07F5"/>
    <w:rsid w:val="006F4D0F"/>
    <w:rsid w:val="006F56FC"/>
    <w:rsid w:val="00710311"/>
    <w:rsid w:val="00710EA1"/>
    <w:rsid w:val="007115F1"/>
    <w:rsid w:val="0071517B"/>
    <w:rsid w:val="00715AA8"/>
    <w:rsid w:val="00716A7A"/>
    <w:rsid w:val="00716E03"/>
    <w:rsid w:val="00717607"/>
    <w:rsid w:val="00725D89"/>
    <w:rsid w:val="00727CF1"/>
    <w:rsid w:val="00740B19"/>
    <w:rsid w:val="00745AC3"/>
    <w:rsid w:val="00745FA1"/>
    <w:rsid w:val="0075696F"/>
    <w:rsid w:val="00756C1C"/>
    <w:rsid w:val="00760732"/>
    <w:rsid w:val="00762DB8"/>
    <w:rsid w:val="007635E5"/>
    <w:rsid w:val="00770ACE"/>
    <w:rsid w:val="00770AE0"/>
    <w:rsid w:val="007759D8"/>
    <w:rsid w:val="007832C3"/>
    <w:rsid w:val="00786E3B"/>
    <w:rsid w:val="007870F1"/>
    <w:rsid w:val="007914A7"/>
    <w:rsid w:val="00791DE9"/>
    <w:rsid w:val="007935D7"/>
    <w:rsid w:val="007945BA"/>
    <w:rsid w:val="007971A4"/>
    <w:rsid w:val="007973AF"/>
    <w:rsid w:val="007B316F"/>
    <w:rsid w:val="007B59C5"/>
    <w:rsid w:val="007B5FF4"/>
    <w:rsid w:val="007C413E"/>
    <w:rsid w:val="007C48A1"/>
    <w:rsid w:val="007C6F5A"/>
    <w:rsid w:val="007D10D1"/>
    <w:rsid w:val="007D1895"/>
    <w:rsid w:val="007D22B5"/>
    <w:rsid w:val="007D7BAE"/>
    <w:rsid w:val="007E53FE"/>
    <w:rsid w:val="007F47D1"/>
    <w:rsid w:val="007F4928"/>
    <w:rsid w:val="007F5041"/>
    <w:rsid w:val="007F672E"/>
    <w:rsid w:val="00800E17"/>
    <w:rsid w:val="0080189E"/>
    <w:rsid w:val="0080260E"/>
    <w:rsid w:val="00803040"/>
    <w:rsid w:val="00806F05"/>
    <w:rsid w:val="00814B53"/>
    <w:rsid w:val="008217E1"/>
    <w:rsid w:val="00823580"/>
    <w:rsid w:val="00824560"/>
    <w:rsid w:val="008260DB"/>
    <w:rsid w:val="008262EF"/>
    <w:rsid w:val="00830C40"/>
    <w:rsid w:val="00837764"/>
    <w:rsid w:val="0084251E"/>
    <w:rsid w:val="00851732"/>
    <w:rsid w:val="00852890"/>
    <w:rsid w:val="00852C2A"/>
    <w:rsid w:val="00853B1C"/>
    <w:rsid w:val="00862366"/>
    <w:rsid w:val="0086591A"/>
    <w:rsid w:val="0087148D"/>
    <w:rsid w:val="008714A9"/>
    <w:rsid w:val="00880F72"/>
    <w:rsid w:val="00884693"/>
    <w:rsid w:val="008847FF"/>
    <w:rsid w:val="008854C0"/>
    <w:rsid w:val="00886B84"/>
    <w:rsid w:val="00886EEB"/>
    <w:rsid w:val="008931AC"/>
    <w:rsid w:val="008A1EB4"/>
    <w:rsid w:val="008A488F"/>
    <w:rsid w:val="008A4CD8"/>
    <w:rsid w:val="008A6542"/>
    <w:rsid w:val="008B1E9A"/>
    <w:rsid w:val="008B3901"/>
    <w:rsid w:val="008B53B7"/>
    <w:rsid w:val="008B795D"/>
    <w:rsid w:val="008C193E"/>
    <w:rsid w:val="008C2322"/>
    <w:rsid w:val="008C303E"/>
    <w:rsid w:val="008C4F17"/>
    <w:rsid w:val="008D0691"/>
    <w:rsid w:val="008D1CB9"/>
    <w:rsid w:val="008D1FC7"/>
    <w:rsid w:val="008D4834"/>
    <w:rsid w:val="008E5E0E"/>
    <w:rsid w:val="008E5F87"/>
    <w:rsid w:val="008E72AC"/>
    <w:rsid w:val="008E7C0F"/>
    <w:rsid w:val="008F2D62"/>
    <w:rsid w:val="008F5E74"/>
    <w:rsid w:val="009037E0"/>
    <w:rsid w:val="00905F44"/>
    <w:rsid w:val="00907C12"/>
    <w:rsid w:val="00913A47"/>
    <w:rsid w:val="00914670"/>
    <w:rsid w:val="00914CD2"/>
    <w:rsid w:val="0091553E"/>
    <w:rsid w:val="00921E2E"/>
    <w:rsid w:val="009232B6"/>
    <w:rsid w:val="00936BAD"/>
    <w:rsid w:val="0094283C"/>
    <w:rsid w:val="00947C4F"/>
    <w:rsid w:val="0095072B"/>
    <w:rsid w:val="00954D62"/>
    <w:rsid w:val="0096279F"/>
    <w:rsid w:val="0096716F"/>
    <w:rsid w:val="00967696"/>
    <w:rsid w:val="00967BE6"/>
    <w:rsid w:val="009705BD"/>
    <w:rsid w:val="0097485A"/>
    <w:rsid w:val="00981235"/>
    <w:rsid w:val="00983085"/>
    <w:rsid w:val="009907E9"/>
    <w:rsid w:val="00991724"/>
    <w:rsid w:val="009922BB"/>
    <w:rsid w:val="00994955"/>
    <w:rsid w:val="009975F4"/>
    <w:rsid w:val="009979A9"/>
    <w:rsid w:val="00997F14"/>
    <w:rsid w:val="009A25F2"/>
    <w:rsid w:val="009A6C81"/>
    <w:rsid w:val="009B0122"/>
    <w:rsid w:val="009B330B"/>
    <w:rsid w:val="009B3A5B"/>
    <w:rsid w:val="009B3ED5"/>
    <w:rsid w:val="009B666C"/>
    <w:rsid w:val="009B6A2B"/>
    <w:rsid w:val="009C035A"/>
    <w:rsid w:val="009C7127"/>
    <w:rsid w:val="009C76AB"/>
    <w:rsid w:val="009C7D99"/>
    <w:rsid w:val="009D1577"/>
    <w:rsid w:val="009D1E27"/>
    <w:rsid w:val="009D22AC"/>
    <w:rsid w:val="009D2800"/>
    <w:rsid w:val="009D37FB"/>
    <w:rsid w:val="009D65B9"/>
    <w:rsid w:val="009D7169"/>
    <w:rsid w:val="009D7C24"/>
    <w:rsid w:val="009E13A8"/>
    <w:rsid w:val="009E495D"/>
    <w:rsid w:val="009E5414"/>
    <w:rsid w:val="009F180F"/>
    <w:rsid w:val="00A00943"/>
    <w:rsid w:val="00A06418"/>
    <w:rsid w:val="00A06A31"/>
    <w:rsid w:val="00A0754C"/>
    <w:rsid w:val="00A079BA"/>
    <w:rsid w:val="00A23DB2"/>
    <w:rsid w:val="00A2550F"/>
    <w:rsid w:val="00A25523"/>
    <w:rsid w:val="00A25A49"/>
    <w:rsid w:val="00A27ABB"/>
    <w:rsid w:val="00A32868"/>
    <w:rsid w:val="00A33643"/>
    <w:rsid w:val="00A354AC"/>
    <w:rsid w:val="00A35A3B"/>
    <w:rsid w:val="00A40215"/>
    <w:rsid w:val="00A448DD"/>
    <w:rsid w:val="00A51C11"/>
    <w:rsid w:val="00A57701"/>
    <w:rsid w:val="00A668A4"/>
    <w:rsid w:val="00A66C45"/>
    <w:rsid w:val="00A672CB"/>
    <w:rsid w:val="00A730A2"/>
    <w:rsid w:val="00A76263"/>
    <w:rsid w:val="00A76E0C"/>
    <w:rsid w:val="00A827CE"/>
    <w:rsid w:val="00A85428"/>
    <w:rsid w:val="00A90114"/>
    <w:rsid w:val="00A91B14"/>
    <w:rsid w:val="00A931B6"/>
    <w:rsid w:val="00AA1E74"/>
    <w:rsid w:val="00AA774B"/>
    <w:rsid w:val="00AB0344"/>
    <w:rsid w:val="00AB3F7E"/>
    <w:rsid w:val="00AB4953"/>
    <w:rsid w:val="00AB58F6"/>
    <w:rsid w:val="00AB6E22"/>
    <w:rsid w:val="00AC0D5C"/>
    <w:rsid w:val="00AD2EAA"/>
    <w:rsid w:val="00AE2912"/>
    <w:rsid w:val="00AE660D"/>
    <w:rsid w:val="00AF1CCD"/>
    <w:rsid w:val="00AF47B4"/>
    <w:rsid w:val="00AF6274"/>
    <w:rsid w:val="00B04ADC"/>
    <w:rsid w:val="00B0512E"/>
    <w:rsid w:val="00B05719"/>
    <w:rsid w:val="00B07D35"/>
    <w:rsid w:val="00B10487"/>
    <w:rsid w:val="00B1279D"/>
    <w:rsid w:val="00B1545E"/>
    <w:rsid w:val="00B16C92"/>
    <w:rsid w:val="00B20692"/>
    <w:rsid w:val="00B2429C"/>
    <w:rsid w:val="00B2797C"/>
    <w:rsid w:val="00B305CD"/>
    <w:rsid w:val="00B31F56"/>
    <w:rsid w:val="00B35087"/>
    <w:rsid w:val="00B40BE3"/>
    <w:rsid w:val="00B4144B"/>
    <w:rsid w:val="00B43486"/>
    <w:rsid w:val="00B4381F"/>
    <w:rsid w:val="00B44577"/>
    <w:rsid w:val="00B44C81"/>
    <w:rsid w:val="00B4587B"/>
    <w:rsid w:val="00B47755"/>
    <w:rsid w:val="00B47978"/>
    <w:rsid w:val="00B50573"/>
    <w:rsid w:val="00B52658"/>
    <w:rsid w:val="00B554FC"/>
    <w:rsid w:val="00B611AA"/>
    <w:rsid w:val="00B63751"/>
    <w:rsid w:val="00B63C60"/>
    <w:rsid w:val="00B718CD"/>
    <w:rsid w:val="00B72386"/>
    <w:rsid w:val="00B811A0"/>
    <w:rsid w:val="00B82690"/>
    <w:rsid w:val="00B8397E"/>
    <w:rsid w:val="00B8584A"/>
    <w:rsid w:val="00B87AB7"/>
    <w:rsid w:val="00B9450E"/>
    <w:rsid w:val="00B97579"/>
    <w:rsid w:val="00B9782B"/>
    <w:rsid w:val="00BA15B9"/>
    <w:rsid w:val="00BA3B2F"/>
    <w:rsid w:val="00BA4E65"/>
    <w:rsid w:val="00BB0B53"/>
    <w:rsid w:val="00BB0D65"/>
    <w:rsid w:val="00BB20C8"/>
    <w:rsid w:val="00BB7983"/>
    <w:rsid w:val="00BC33BA"/>
    <w:rsid w:val="00BC66EC"/>
    <w:rsid w:val="00BD591F"/>
    <w:rsid w:val="00BE0CBB"/>
    <w:rsid w:val="00BE1C28"/>
    <w:rsid w:val="00BE28E2"/>
    <w:rsid w:val="00BF1336"/>
    <w:rsid w:val="00BF174D"/>
    <w:rsid w:val="00BF3AE9"/>
    <w:rsid w:val="00C0712A"/>
    <w:rsid w:val="00C10ED5"/>
    <w:rsid w:val="00C11260"/>
    <w:rsid w:val="00C216A0"/>
    <w:rsid w:val="00C21BEC"/>
    <w:rsid w:val="00C24866"/>
    <w:rsid w:val="00C30976"/>
    <w:rsid w:val="00C341FD"/>
    <w:rsid w:val="00C34934"/>
    <w:rsid w:val="00C350BD"/>
    <w:rsid w:val="00C35688"/>
    <w:rsid w:val="00C3697C"/>
    <w:rsid w:val="00C417F1"/>
    <w:rsid w:val="00C41C9F"/>
    <w:rsid w:val="00C42A85"/>
    <w:rsid w:val="00C444D8"/>
    <w:rsid w:val="00C501E0"/>
    <w:rsid w:val="00C51DF5"/>
    <w:rsid w:val="00C6137D"/>
    <w:rsid w:val="00C615DC"/>
    <w:rsid w:val="00C624D2"/>
    <w:rsid w:val="00C6376D"/>
    <w:rsid w:val="00C6420D"/>
    <w:rsid w:val="00C6585E"/>
    <w:rsid w:val="00C65C22"/>
    <w:rsid w:val="00C65D26"/>
    <w:rsid w:val="00C703F5"/>
    <w:rsid w:val="00C7049B"/>
    <w:rsid w:val="00C826F3"/>
    <w:rsid w:val="00C82C70"/>
    <w:rsid w:val="00C85E2B"/>
    <w:rsid w:val="00C87306"/>
    <w:rsid w:val="00C940FF"/>
    <w:rsid w:val="00C958BA"/>
    <w:rsid w:val="00C95C2C"/>
    <w:rsid w:val="00C97A86"/>
    <w:rsid w:val="00CA020C"/>
    <w:rsid w:val="00CA27D7"/>
    <w:rsid w:val="00CA2EA1"/>
    <w:rsid w:val="00CB20C0"/>
    <w:rsid w:val="00CB2410"/>
    <w:rsid w:val="00CB4497"/>
    <w:rsid w:val="00CB6083"/>
    <w:rsid w:val="00CC20AC"/>
    <w:rsid w:val="00CC4199"/>
    <w:rsid w:val="00CC71A1"/>
    <w:rsid w:val="00CC7708"/>
    <w:rsid w:val="00CD2BC0"/>
    <w:rsid w:val="00CE19C9"/>
    <w:rsid w:val="00CE1F24"/>
    <w:rsid w:val="00CE3405"/>
    <w:rsid w:val="00CE4077"/>
    <w:rsid w:val="00CE4DE9"/>
    <w:rsid w:val="00CF1E1F"/>
    <w:rsid w:val="00CF4378"/>
    <w:rsid w:val="00CF5C59"/>
    <w:rsid w:val="00D00814"/>
    <w:rsid w:val="00D020B8"/>
    <w:rsid w:val="00D051EC"/>
    <w:rsid w:val="00D22FC8"/>
    <w:rsid w:val="00D25DB7"/>
    <w:rsid w:val="00D26CF0"/>
    <w:rsid w:val="00D30D36"/>
    <w:rsid w:val="00D31B41"/>
    <w:rsid w:val="00D34428"/>
    <w:rsid w:val="00D35C02"/>
    <w:rsid w:val="00D40BF4"/>
    <w:rsid w:val="00D412B8"/>
    <w:rsid w:val="00D42733"/>
    <w:rsid w:val="00D42B97"/>
    <w:rsid w:val="00D43391"/>
    <w:rsid w:val="00D44495"/>
    <w:rsid w:val="00D52C8B"/>
    <w:rsid w:val="00D552E0"/>
    <w:rsid w:val="00D60652"/>
    <w:rsid w:val="00D62AB9"/>
    <w:rsid w:val="00D639ED"/>
    <w:rsid w:val="00D71CBD"/>
    <w:rsid w:val="00D71E9E"/>
    <w:rsid w:val="00D737EF"/>
    <w:rsid w:val="00D73C90"/>
    <w:rsid w:val="00D74535"/>
    <w:rsid w:val="00D74667"/>
    <w:rsid w:val="00D75B60"/>
    <w:rsid w:val="00D82986"/>
    <w:rsid w:val="00D85FDE"/>
    <w:rsid w:val="00D86E6A"/>
    <w:rsid w:val="00D91A84"/>
    <w:rsid w:val="00D95591"/>
    <w:rsid w:val="00D96D45"/>
    <w:rsid w:val="00DA06BA"/>
    <w:rsid w:val="00DA09C3"/>
    <w:rsid w:val="00DA2DB7"/>
    <w:rsid w:val="00DA3BB0"/>
    <w:rsid w:val="00DA5A8D"/>
    <w:rsid w:val="00DA7527"/>
    <w:rsid w:val="00DB0841"/>
    <w:rsid w:val="00DB1153"/>
    <w:rsid w:val="00DB1E5A"/>
    <w:rsid w:val="00DB37AA"/>
    <w:rsid w:val="00DB6D8A"/>
    <w:rsid w:val="00DC12E4"/>
    <w:rsid w:val="00DC7D68"/>
    <w:rsid w:val="00DD2574"/>
    <w:rsid w:val="00DD3603"/>
    <w:rsid w:val="00DD65B6"/>
    <w:rsid w:val="00DE447B"/>
    <w:rsid w:val="00DE60EB"/>
    <w:rsid w:val="00DE7AF9"/>
    <w:rsid w:val="00DF291B"/>
    <w:rsid w:val="00DF2ED8"/>
    <w:rsid w:val="00DF43D9"/>
    <w:rsid w:val="00E0080A"/>
    <w:rsid w:val="00E079FE"/>
    <w:rsid w:val="00E1050E"/>
    <w:rsid w:val="00E16AB5"/>
    <w:rsid w:val="00E171E5"/>
    <w:rsid w:val="00E2645E"/>
    <w:rsid w:val="00E26E25"/>
    <w:rsid w:val="00E27408"/>
    <w:rsid w:val="00E35742"/>
    <w:rsid w:val="00E36221"/>
    <w:rsid w:val="00E431CD"/>
    <w:rsid w:val="00E5022A"/>
    <w:rsid w:val="00E52EED"/>
    <w:rsid w:val="00E546B8"/>
    <w:rsid w:val="00E561DF"/>
    <w:rsid w:val="00E562A5"/>
    <w:rsid w:val="00E56937"/>
    <w:rsid w:val="00E577A0"/>
    <w:rsid w:val="00E62C92"/>
    <w:rsid w:val="00E6586E"/>
    <w:rsid w:val="00E75FFE"/>
    <w:rsid w:val="00E80AE4"/>
    <w:rsid w:val="00E93732"/>
    <w:rsid w:val="00EA3C33"/>
    <w:rsid w:val="00EB07A3"/>
    <w:rsid w:val="00EB10B1"/>
    <w:rsid w:val="00EB16B7"/>
    <w:rsid w:val="00EC5395"/>
    <w:rsid w:val="00EC5977"/>
    <w:rsid w:val="00ED285D"/>
    <w:rsid w:val="00ED30BA"/>
    <w:rsid w:val="00EF0723"/>
    <w:rsid w:val="00EF27E1"/>
    <w:rsid w:val="00EF56D9"/>
    <w:rsid w:val="00EF688D"/>
    <w:rsid w:val="00F00F06"/>
    <w:rsid w:val="00F0295D"/>
    <w:rsid w:val="00F030C5"/>
    <w:rsid w:val="00F046D4"/>
    <w:rsid w:val="00F06335"/>
    <w:rsid w:val="00F132C6"/>
    <w:rsid w:val="00F15898"/>
    <w:rsid w:val="00F15D7D"/>
    <w:rsid w:val="00F16651"/>
    <w:rsid w:val="00F1734C"/>
    <w:rsid w:val="00F17C93"/>
    <w:rsid w:val="00F17D6C"/>
    <w:rsid w:val="00F209F0"/>
    <w:rsid w:val="00F22E52"/>
    <w:rsid w:val="00F23678"/>
    <w:rsid w:val="00F24A12"/>
    <w:rsid w:val="00F253C1"/>
    <w:rsid w:val="00F273E5"/>
    <w:rsid w:val="00F2764E"/>
    <w:rsid w:val="00F31BBC"/>
    <w:rsid w:val="00F32647"/>
    <w:rsid w:val="00F35076"/>
    <w:rsid w:val="00F35646"/>
    <w:rsid w:val="00F358B3"/>
    <w:rsid w:val="00F36636"/>
    <w:rsid w:val="00F4467A"/>
    <w:rsid w:val="00F46AEB"/>
    <w:rsid w:val="00F500B6"/>
    <w:rsid w:val="00F51C0E"/>
    <w:rsid w:val="00F54B1F"/>
    <w:rsid w:val="00F61CF7"/>
    <w:rsid w:val="00F62F2D"/>
    <w:rsid w:val="00F63C0A"/>
    <w:rsid w:val="00F6417E"/>
    <w:rsid w:val="00F670EC"/>
    <w:rsid w:val="00F67465"/>
    <w:rsid w:val="00F70E6B"/>
    <w:rsid w:val="00F71FB2"/>
    <w:rsid w:val="00F72659"/>
    <w:rsid w:val="00F775F7"/>
    <w:rsid w:val="00F84004"/>
    <w:rsid w:val="00F8695C"/>
    <w:rsid w:val="00F91415"/>
    <w:rsid w:val="00F9352D"/>
    <w:rsid w:val="00F94349"/>
    <w:rsid w:val="00F95CFD"/>
    <w:rsid w:val="00FA109D"/>
    <w:rsid w:val="00FA32E6"/>
    <w:rsid w:val="00FA3BD8"/>
    <w:rsid w:val="00FA51E7"/>
    <w:rsid w:val="00FA5E40"/>
    <w:rsid w:val="00FA635C"/>
    <w:rsid w:val="00FB24D4"/>
    <w:rsid w:val="00FB2571"/>
    <w:rsid w:val="00FB3A75"/>
    <w:rsid w:val="00FB3D02"/>
    <w:rsid w:val="00FB5C4C"/>
    <w:rsid w:val="00FB6AF7"/>
    <w:rsid w:val="00FC0C10"/>
    <w:rsid w:val="00FC1CCF"/>
    <w:rsid w:val="00FC2189"/>
    <w:rsid w:val="00FC22E3"/>
    <w:rsid w:val="00FC28F2"/>
    <w:rsid w:val="00FC2E8A"/>
    <w:rsid w:val="00FC473C"/>
    <w:rsid w:val="00FD6F8D"/>
    <w:rsid w:val="00FD743D"/>
    <w:rsid w:val="00FE0209"/>
    <w:rsid w:val="00FE53EE"/>
    <w:rsid w:val="00FE7A4D"/>
    <w:rsid w:val="00FE7B2D"/>
    <w:rsid w:val="00FF5855"/>
    <w:rsid w:val="00FF7AAD"/>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sdException w:name="Colorful List"/>
    <w:lsdException w:name="Colorful Grid"/>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CF"/>
    <w:pPr>
      <w:widowControl w:val="0"/>
      <w:spacing w:after="220"/>
      <w:jc w:val="both"/>
    </w:pPr>
    <w:rPr>
      <w:snapToGrid w:val="0"/>
      <w:sz w:val="22"/>
      <w:lang w:eastAsia="es-ES"/>
    </w:rPr>
  </w:style>
  <w:style w:type="paragraph" w:styleId="Heading1">
    <w:name w:val="heading 1"/>
    <w:basedOn w:val="JIASSSectionTitle"/>
    <w:next w:val="Normal"/>
    <w:link w:val="Heading1Char"/>
    <w:qFormat/>
    <w:rsid w:val="00FC1CCF"/>
    <w:pPr>
      <w:keepNext/>
      <w:outlineLvl w:val="0"/>
    </w:pPr>
    <w:rPr>
      <w:rFonts w:cs="Arial"/>
      <w:bCs/>
      <w:kern w:val="32"/>
      <w:szCs w:val="32"/>
    </w:rPr>
  </w:style>
  <w:style w:type="paragraph" w:styleId="Heading2">
    <w:name w:val="heading 2"/>
    <w:basedOn w:val="JIASSSubsectionTitle"/>
    <w:next w:val="Normal"/>
    <w:link w:val="Heading2Char"/>
    <w:uiPriority w:val="9"/>
    <w:qFormat/>
    <w:rsid w:val="00FC1CCF"/>
    <w:pPr>
      <w:keepNext/>
      <w:outlineLvl w:val="1"/>
    </w:pPr>
    <w:rPr>
      <w:rFonts w:cs="Arial"/>
      <w:bCs/>
      <w:iCs/>
      <w:szCs w:val="28"/>
    </w:rPr>
  </w:style>
  <w:style w:type="paragraph" w:styleId="Heading3">
    <w:name w:val="heading 3"/>
    <w:basedOn w:val="Normal"/>
    <w:next w:val="Normal"/>
    <w:link w:val="Heading3Char"/>
    <w:uiPriority w:val="9"/>
    <w:qFormat/>
    <w:rsid w:val="00FC1CCF"/>
    <w:pPr>
      <w:keepNext/>
      <w:outlineLvl w:val="2"/>
    </w:pPr>
    <w:rPr>
      <w:rFonts w:cs="Arial"/>
      <w:b/>
      <w:bCs/>
      <w:szCs w:val="26"/>
    </w:rPr>
  </w:style>
  <w:style w:type="paragraph" w:styleId="Heading4">
    <w:name w:val="heading 4"/>
    <w:basedOn w:val="Heading3"/>
    <w:next w:val="Normal"/>
    <w:link w:val="Heading4Char"/>
    <w:autoRedefine/>
    <w:uiPriority w:val="9"/>
    <w:qFormat/>
    <w:rsid w:val="0031668B"/>
    <w:pPr>
      <w:keepNext w:val="0"/>
      <w:widowControl/>
      <w:tabs>
        <w:tab w:val="left" w:pos="1530"/>
      </w:tabs>
      <w:autoSpaceDE w:val="0"/>
      <w:autoSpaceDN w:val="0"/>
      <w:adjustRightInd w:val="0"/>
      <w:spacing w:before="100" w:beforeAutospacing="1" w:after="100" w:afterAutospacing="1" w:line="360" w:lineRule="auto"/>
      <w:contextualSpacing/>
      <w:outlineLvl w:val="3"/>
    </w:pPr>
    <w:rPr>
      <w:rFonts w:cs="Times New Roman"/>
      <w:bCs w:val="0"/>
      <w:i/>
      <w:snapToGrid/>
      <w:sz w:val="24"/>
      <w:szCs w:val="24"/>
      <w:lang w:val="en-GB" w:eastAsia="en-US"/>
    </w:rPr>
  </w:style>
  <w:style w:type="paragraph" w:styleId="Heading5">
    <w:name w:val="heading 5"/>
    <w:basedOn w:val="Normal"/>
    <w:next w:val="Normal"/>
    <w:link w:val="Heading5Char1"/>
    <w:uiPriority w:val="9"/>
    <w:semiHidden/>
    <w:unhideWhenUsed/>
    <w:qFormat/>
    <w:rsid w:val="001C059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semiHidden/>
    <w:unhideWhenUsed/>
    <w:qFormat/>
    <w:rsid w:val="001C05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semiHidden/>
    <w:unhideWhenUsed/>
    <w:qFormat/>
    <w:rsid w:val="001C05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semiHidden/>
    <w:unhideWhenUsed/>
    <w:qFormat/>
    <w:rsid w:val="001C059C"/>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1"/>
    <w:uiPriority w:val="9"/>
    <w:semiHidden/>
    <w:unhideWhenUsed/>
    <w:qFormat/>
    <w:rsid w:val="001C059C"/>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ASSSectionTitle">
    <w:name w:val="J_IASS_Section_Title"/>
    <w:basedOn w:val="JIASSText"/>
    <w:next w:val="JIASSText"/>
    <w:rsid w:val="00FC1CCF"/>
    <w:rPr>
      <w:b/>
      <w:caps/>
      <w:szCs w:val="22"/>
    </w:rPr>
  </w:style>
  <w:style w:type="paragraph" w:customStyle="1" w:styleId="JIASSText">
    <w:name w:val="J_IASS_Text"/>
    <w:basedOn w:val="Normal"/>
    <w:rsid w:val="00FC1CCF"/>
  </w:style>
  <w:style w:type="character" w:customStyle="1" w:styleId="Heading1Char">
    <w:name w:val="Heading 1 Char"/>
    <w:basedOn w:val="DefaultParagraphFont"/>
    <w:link w:val="Heading1"/>
    <w:locked/>
    <w:rsid w:val="0031668B"/>
    <w:rPr>
      <w:rFonts w:cs="Arial"/>
      <w:b/>
      <w:bCs/>
      <w:caps/>
      <w:snapToGrid w:val="0"/>
      <w:kern w:val="32"/>
      <w:sz w:val="22"/>
      <w:szCs w:val="32"/>
      <w:lang w:eastAsia="es-ES"/>
    </w:rPr>
  </w:style>
  <w:style w:type="paragraph" w:customStyle="1" w:styleId="JIASSSubsectionTitle">
    <w:name w:val="J_IASS_Subsection_Title"/>
    <w:basedOn w:val="JIASSText"/>
    <w:next w:val="JIASSText"/>
    <w:rsid w:val="00FC1CCF"/>
    <w:rPr>
      <w:b/>
      <w:szCs w:val="22"/>
    </w:rPr>
  </w:style>
  <w:style w:type="character" w:customStyle="1" w:styleId="Heading2Char">
    <w:name w:val="Heading 2 Char"/>
    <w:basedOn w:val="DefaultParagraphFont"/>
    <w:link w:val="Heading2"/>
    <w:uiPriority w:val="9"/>
    <w:locked/>
    <w:rsid w:val="0031668B"/>
    <w:rPr>
      <w:rFonts w:cs="Arial"/>
      <w:b/>
      <w:bCs/>
      <w:iCs/>
      <w:snapToGrid w:val="0"/>
      <w:sz w:val="22"/>
      <w:szCs w:val="28"/>
      <w:lang w:eastAsia="es-ES"/>
    </w:rPr>
  </w:style>
  <w:style w:type="character" w:customStyle="1" w:styleId="Heading3Char">
    <w:name w:val="Heading 3 Char"/>
    <w:basedOn w:val="DefaultParagraphFont"/>
    <w:link w:val="Heading3"/>
    <w:uiPriority w:val="9"/>
    <w:locked/>
    <w:rsid w:val="0031668B"/>
    <w:rPr>
      <w:rFonts w:cs="Arial"/>
      <w:b/>
      <w:bCs/>
      <w:snapToGrid w:val="0"/>
      <w:sz w:val="22"/>
      <w:szCs w:val="26"/>
      <w:lang w:eastAsia="es-ES"/>
    </w:rPr>
  </w:style>
  <w:style w:type="character" w:customStyle="1" w:styleId="Heading4Char">
    <w:name w:val="Heading 4 Char"/>
    <w:basedOn w:val="DefaultParagraphFont"/>
    <w:link w:val="Heading4"/>
    <w:uiPriority w:val="9"/>
    <w:rsid w:val="0031668B"/>
    <w:rPr>
      <w:b/>
      <w:i/>
      <w:sz w:val="24"/>
      <w:szCs w:val="24"/>
      <w:lang w:val="en-GB"/>
    </w:rPr>
  </w:style>
  <w:style w:type="paragraph" w:customStyle="1" w:styleId="JIASSRefs">
    <w:name w:val="J_IASS_Refs"/>
    <w:basedOn w:val="JIASSText"/>
    <w:rsid w:val="00FC1CCF"/>
    <w:pPr>
      <w:numPr>
        <w:numId w:val="1"/>
      </w:numPr>
    </w:pPr>
    <w:rPr>
      <w:szCs w:val="22"/>
    </w:rPr>
  </w:style>
  <w:style w:type="paragraph" w:customStyle="1" w:styleId="JIASSTitle">
    <w:name w:val="J_IASS_Title"/>
    <w:basedOn w:val="Normal"/>
    <w:next w:val="JIASSAuthor"/>
    <w:rsid w:val="00FC1CCF"/>
    <w:pPr>
      <w:suppressAutoHyphens/>
      <w:spacing w:after="240"/>
      <w:jc w:val="right"/>
    </w:pPr>
    <w:rPr>
      <w:rFonts w:ascii="Univers" w:hAnsi="Univers"/>
      <w:b/>
      <w:caps/>
      <w:spacing w:val="-3"/>
      <w:sz w:val="32"/>
    </w:rPr>
  </w:style>
  <w:style w:type="paragraph" w:customStyle="1" w:styleId="JIASSAuthor">
    <w:name w:val="J_IASS_Author"/>
    <w:basedOn w:val="Normal"/>
    <w:rsid w:val="00FC1CCF"/>
    <w:pPr>
      <w:suppressAutoHyphens/>
      <w:spacing w:before="240" w:after="180"/>
      <w:jc w:val="right"/>
    </w:pPr>
    <w:rPr>
      <w:rFonts w:ascii="Univers" w:hAnsi="Univers"/>
      <w:b/>
      <w:spacing w:val="-3"/>
    </w:rPr>
  </w:style>
  <w:style w:type="paragraph" w:customStyle="1" w:styleId="JIASSAbstract">
    <w:name w:val="J_IASS_Abstract"/>
    <w:basedOn w:val="Normal"/>
    <w:rsid w:val="00FC1CCF"/>
    <w:pPr>
      <w:spacing w:after="0"/>
    </w:pPr>
    <w:rPr>
      <w:i/>
      <w:spacing w:val="-3"/>
    </w:rPr>
  </w:style>
  <w:style w:type="paragraph" w:customStyle="1" w:styleId="JIASSCaption">
    <w:name w:val="J_IASS_Caption"/>
    <w:basedOn w:val="Normal"/>
    <w:link w:val="JIASSCaptionChar"/>
    <w:rsid w:val="004A46D1"/>
    <w:pPr>
      <w:suppressAutoHyphens/>
      <w:jc w:val="center"/>
    </w:pPr>
    <w:rPr>
      <w:i/>
      <w:spacing w:val="-3"/>
      <w:sz w:val="20"/>
    </w:rPr>
  </w:style>
  <w:style w:type="character" w:customStyle="1" w:styleId="JIASSCaptionChar">
    <w:name w:val="J_IASS_Caption Char"/>
    <w:basedOn w:val="DefaultParagraphFont"/>
    <w:link w:val="JIASSCaption"/>
    <w:rsid w:val="004A46D1"/>
    <w:rPr>
      <w:i/>
      <w:snapToGrid w:val="0"/>
      <w:spacing w:val="-3"/>
      <w:lang w:val="en-US" w:eastAsia="es-ES" w:bidi="ar-SA"/>
    </w:rPr>
  </w:style>
  <w:style w:type="paragraph" w:customStyle="1" w:styleId="JIASSAffiliation">
    <w:name w:val="J_IASS_Affiliation"/>
    <w:basedOn w:val="Normal"/>
    <w:rsid w:val="00FC1CCF"/>
    <w:pPr>
      <w:suppressAutoHyphens/>
      <w:spacing w:after="0"/>
      <w:jc w:val="right"/>
    </w:pPr>
    <w:rPr>
      <w:rFonts w:ascii="Univers" w:hAnsi="Univers"/>
      <w:spacing w:val="-3"/>
      <w:sz w:val="18"/>
    </w:rPr>
  </w:style>
  <w:style w:type="character" w:styleId="FollowedHyperlink">
    <w:name w:val="FollowedHyperlink"/>
    <w:basedOn w:val="DefaultParagraphFont"/>
    <w:uiPriority w:val="99"/>
    <w:rsid w:val="00FC1CCF"/>
    <w:rPr>
      <w:color w:val="800080"/>
      <w:u w:val="single"/>
    </w:rPr>
  </w:style>
  <w:style w:type="paragraph" w:styleId="Header">
    <w:name w:val="header"/>
    <w:basedOn w:val="Normal"/>
    <w:link w:val="HeaderChar"/>
    <w:uiPriority w:val="99"/>
    <w:rsid w:val="00666A20"/>
    <w:pPr>
      <w:tabs>
        <w:tab w:val="center" w:pos="4320"/>
        <w:tab w:val="right" w:pos="8640"/>
      </w:tabs>
    </w:pPr>
  </w:style>
  <w:style w:type="character" w:customStyle="1" w:styleId="HeaderChar">
    <w:name w:val="Header Char"/>
    <w:basedOn w:val="DefaultParagraphFont"/>
    <w:link w:val="Header"/>
    <w:uiPriority w:val="99"/>
    <w:locked/>
    <w:rsid w:val="0031668B"/>
    <w:rPr>
      <w:snapToGrid w:val="0"/>
      <w:sz w:val="22"/>
      <w:lang w:eastAsia="es-ES"/>
    </w:rPr>
  </w:style>
  <w:style w:type="character" w:customStyle="1" w:styleId="JIASSKeyTitle">
    <w:name w:val="J_IASS_Key_Title"/>
    <w:basedOn w:val="DefaultParagraphFont"/>
    <w:rsid w:val="00FC1CCF"/>
    <w:rPr>
      <w:b/>
      <w:bCs/>
      <w:i/>
      <w:snapToGrid w:val="0"/>
      <w:spacing w:val="-3"/>
      <w:sz w:val="22"/>
      <w:szCs w:val="22"/>
      <w:lang w:val="en-US" w:eastAsia="es-ES" w:bidi="ar-SA"/>
    </w:rPr>
  </w:style>
  <w:style w:type="paragraph" w:customStyle="1" w:styleId="JIASSKeywords">
    <w:name w:val="J_IASS_Keywords"/>
    <w:basedOn w:val="JIASSAbstract"/>
    <w:rsid w:val="00FC1CCF"/>
    <w:rPr>
      <w:iCs/>
    </w:rPr>
  </w:style>
  <w:style w:type="character" w:styleId="PageNumber">
    <w:name w:val="page number"/>
    <w:basedOn w:val="DefaultParagraphFont"/>
    <w:uiPriority w:val="99"/>
    <w:rsid w:val="00FC1CCF"/>
    <w:rPr>
      <w:sz w:val="24"/>
    </w:rPr>
  </w:style>
  <w:style w:type="paragraph" w:customStyle="1" w:styleId="JIASSEditorNote">
    <w:name w:val="J_IASS_Editor_Note"/>
    <w:basedOn w:val="JIASSAffiliation"/>
    <w:rsid w:val="00FC1CCF"/>
    <w:pPr>
      <w:jc w:val="both"/>
    </w:pPr>
  </w:style>
  <w:style w:type="character" w:customStyle="1" w:styleId="JIASSEdNoteTitle">
    <w:name w:val="J_IASS_EdNote_Title"/>
    <w:basedOn w:val="DefaultParagraphFont"/>
    <w:rsid w:val="00FC1CCF"/>
    <w:rPr>
      <w:rFonts w:ascii="Univers" w:hAnsi="Univers"/>
      <w:b/>
      <w:bCs/>
      <w:i/>
      <w:iCs/>
      <w:sz w:val="18"/>
    </w:rPr>
  </w:style>
  <w:style w:type="paragraph" w:styleId="Footer">
    <w:name w:val="footer"/>
    <w:basedOn w:val="Normal"/>
    <w:link w:val="FooterChar"/>
    <w:uiPriority w:val="99"/>
    <w:rsid w:val="00FC1CCF"/>
    <w:pPr>
      <w:tabs>
        <w:tab w:val="center" w:pos="4320"/>
        <w:tab w:val="right" w:pos="8640"/>
      </w:tabs>
    </w:pPr>
  </w:style>
  <w:style w:type="character" w:customStyle="1" w:styleId="FooterChar">
    <w:name w:val="Footer Char"/>
    <w:basedOn w:val="DefaultParagraphFont"/>
    <w:link w:val="Footer"/>
    <w:uiPriority w:val="99"/>
    <w:locked/>
    <w:rsid w:val="0031668B"/>
    <w:rPr>
      <w:snapToGrid w:val="0"/>
      <w:sz w:val="22"/>
      <w:lang w:eastAsia="es-ES"/>
    </w:rPr>
  </w:style>
  <w:style w:type="paragraph" w:customStyle="1" w:styleId="JIASSAbstractTitle">
    <w:name w:val="J_IASS_Abstract_Title"/>
    <w:basedOn w:val="JIASSSectionTitle"/>
    <w:rsid w:val="00FC1CCF"/>
    <w:rPr>
      <w:i/>
    </w:rPr>
  </w:style>
  <w:style w:type="paragraph" w:customStyle="1" w:styleId="JIASSCaptionTitle">
    <w:name w:val="J_IASS_Caption_Title"/>
    <w:basedOn w:val="JIASSCaption"/>
    <w:next w:val="JIASSText"/>
    <w:link w:val="JIASSCaptionTitleChar"/>
    <w:rsid w:val="00FC1CCF"/>
    <w:rPr>
      <w:b/>
      <w:bCs/>
    </w:rPr>
  </w:style>
  <w:style w:type="character" w:customStyle="1" w:styleId="JIASSCaptionTitleChar">
    <w:name w:val="J_IASS_Caption_Title Char"/>
    <w:basedOn w:val="JIASSCaptionChar"/>
    <w:link w:val="JIASSCaptionTitle"/>
    <w:rsid w:val="00D62AB9"/>
    <w:rPr>
      <w:b/>
      <w:bCs/>
      <w:i/>
      <w:snapToGrid w:val="0"/>
      <w:spacing w:val="-3"/>
      <w:lang w:val="en-US" w:eastAsia="es-ES" w:bidi="ar-SA"/>
    </w:rPr>
  </w:style>
  <w:style w:type="paragraph" w:customStyle="1" w:styleId="JIASSHeader">
    <w:name w:val="J_IASS_Header"/>
    <w:basedOn w:val="Normal"/>
    <w:rsid w:val="00FC1CCF"/>
    <w:pPr>
      <w:pBdr>
        <w:top w:val="single" w:sz="12" w:space="1" w:color="auto"/>
        <w:bottom w:val="single" w:sz="6" w:space="1" w:color="auto"/>
      </w:pBdr>
      <w:spacing w:after="0" w:line="260" w:lineRule="exact"/>
      <w:jc w:val="center"/>
    </w:pPr>
    <w:rPr>
      <w:rFonts w:ascii="Univers" w:hAnsi="Univers"/>
      <w:sz w:val="18"/>
    </w:rPr>
  </w:style>
  <w:style w:type="character" w:styleId="Hyperlink">
    <w:name w:val="Hyperlink"/>
    <w:basedOn w:val="DefaultParagraphFont"/>
    <w:uiPriority w:val="99"/>
    <w:rsid w:val="00FC1CCF"/>
    <w:rPr>
      <w:color w:val="0000FF"/>
      <w:u w:val="single"/>
    </w:rPr>
  </w:style>
  <w:style w:type="paragraph" w:styleId="FootnoteText">
    <w:name w:val="footnote text"/>
    <w:aliases w:val="Tekst przypisu,single space,FOOTNOTES,fn,Podrozdział,Fußnote,Footnote,Podrozdzia3,przypis,footnote text,Schriftart: 9 pt,Schriftart: 10 pt,Schriftart: 8 pt,WB-Fußnotentext,Footnotes,Footnote ak,Text poznámky pod čiarou Char Char"/>
    <w:basedOn w:val="Normal"/>
    <w:link w:val="FootnoteTextChar"/>
    <w:uiPriority w:val="99"/>
    <w:rsid w:val="0031668B"/>
    <w:pPr>
      <w:widowControl/>
      <w:spacing w:after="0"/>
      <w:jc w:val="left"/>
    </w:pPr>
    <w:rPr>
      <w:rFonts w:ascii="Calibri" w:hAnsi="Calibri"/>
      <w:snapToGrid/>
      <w:sz w:val="20"/>
      <w:lang w:val="en-GB" w:eastAsia="en-US"/>
    </w:rPr>
  </w:style>
  <w:style w:type="character" w:customStyle="1" w:styleId="FootnoteTextChar">
    <w:name w:val="Footnote Text Char"/>
    <w:aliases w:val="Tekst przypisu Char,single space Char,FOOTNOTES Char,fn Char,Podrozdział Char,Fußnote Char,Footnote Char,Podrozdzia3 Char,przypis Char,footnote text Char,Schriftart: 9 pt Char,Schriftart: 10 pt Char,Schriftart: 8 pt Char"/>
    <w:basedOn w:val="DefaultParagraphFont"/>
    <w:link w:val="FootnoteText"/>
    <w:uiPriority w:val="99"/>
    <w:rsid w:val="0031668B"/>
    <w:rPr>
      <w:rFonts w:ascii="Calibri" w:hAnsi="Calibri"/>
      <w:lang w:val="en-GB"/>
    </w:rPr>
  </w:style>
  <w:style w:type="character" w:styleId="FootnoteReference">
    <w:name w:val="footnote reference"/>
    <w:aliases w:val="BVI fnr,Footnote Reference Number,Odwołanie przypisu,Footnote symbol,SUPERS"/>
    <w:basedOn w:val="DefaultParagraphFont"/>
    <w:uiPriority w:val="99"/>
    <w:rsid w:val="0031668B"/>
    <w:rPr>
      <w:rFonts w:cs="Times New Roman"/>
      <w:vertAlign w:val="superscript"/>
    </w:rPr>
  </w:style>
  <w:style w:type="table" w:customStyle="1" w:styleId="LightShading1">
    <w:name w:val="Light Shading1"/>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31668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31668B"/>
    <w:pPr>
      <w:widowControl/>
      <w:spacing w:after="200" w:line="276" w:lineRule="auto"/>
      <w:ind w:left="720"/>
      <w:contextualSpacing/>
      <w:jc w:val="left"/>
    </w:pPr>
    <w:rPr>
      <w:rFonts w:ascii="Calibri" w:hAnsi="Calibri"/>
      <w:snapToGrid/>
      <w:szCs w:val="22"/>
      <w:lang w:val="en-GB" w:eastAsia="en-US"/>
    </w:rPr>
  </w:style>
  <w:style w:type="paragraph" w:styleId="Caption">
    <w:name w:val="caption"/>
    <w:basedOn w:val="Normal"/>
    <w:next w:val="Normal"/>
    <w:qFormat/>
    <w:rsid w:val="0031668B"/>
    <w:pPr>
      <w:widowControl/>
      <w:spacing w:after="200"/>
      <w:jc w:val="left"/>
    </w:pPr>
    <w:rPr>
      <w:rFonts w:ascii="Calibri" w:hAnsi="Calibri"/>
      <w:b/>
      <w:bCs/>
      <w:snapToGrid/>
      <w:color w:val="4F81BD"/>
      <w:sz w:val="18"/>
      <w:szCs w:val="18"/>
      <w:lang w:val="en-GB" w:eastAsia="en-US"/>
    </w:rPr>
  </w:style>
  <w:style w:type="character" w:customStyle="1" w:styleId="BalloonTextChar">
    <w:name w:val="Balloon Text Char"/>
    <w:basedOn w:val="DefaultParagraphFont"/>
    <w:link w:val="BalloonText"/>
    <w:uiPriority w:val="99"/>
    <w:semiHidden/>
    <w:rsid w:val="0031668B"/>
    <w:rPr>
      <w:rFonts w:ascii="Tahoma" w:hAnsi="Tahoma" w:cs="Tahoma"/>
      <w:sz w:val="16"/>
      <w:szCs w:val="16"/>
      <w:lang w:val="en-GB"/>
    </w:rPr>
  </w:style>
  <w:style w:type="paragraph" w:styleId="BalloonText">
    <w:name w:val="Balloon Text"/>
    <w:basedOn w:val="Normal"/>
    <w:link w:val="BalloonTextChar"/>
    <w:uiPriority w:val="99"/>
    <w:semiHidden/>
    <w:rsid w:val="0031668B"/>
    <w:pPr>
      <w:widowControl/>
      <w:spacing w:after="0"/>
      <w:jc w:val="left"/>
    </w:pPr>
    <w:rPr>
      <w:rFonts w:ascii="Tahoma" w:hAnsi="Tahoma" w:cs="Tahoma"/>
      <w:snapToGrid/>
      <w:sz w:val="16"/>
      <w:szCs w:val="16"/>
      <w:lang w:val="en-GB" w:eastAsia="en-US"/>
    </w:rPr>
  </w:style>
  <w:style w:type="character" w:customStyle="1" w:styleId="apple-style-span">
    <w:name w:val="apple-style-span"/>
    <w:basedOn w:val="DefaultParagraphFont"/>
    <w:rsid w:val="00E35742"/>
  </w:style>
  <w:style w:type="paragraph" w:styleId="NoSpacing">
    <w:name w:val="No Spacing"/>
    <w:aliases w:val="Title 3 Subsection"/>
    <w:link w:val="NoSpacingChar"/>
    <w:uiPriority w:val="1"/>
    <w:qFormat/>
    <w:rsid w:val="008D1FC7"/>
    <w:rPr>
      <w:rFonts w:ascii="Calibri" w:eastAsia="Calibri" w:hAnsi="Calibri"/>
      <w:sz w:val="22"/>
      <w:szCs w:val="22"/>
    </w:rPr>
  </w:style>
  <w:style w:type="character" w:customStyle="1" w:styleId="NoSpacingChar">
    <w:name w:val="No Spacing Char"/>
    <w:aliases w:val="Title 3 Subsection Char"/>
    <w:basedOn w:val="DefaultParagraphFont"/>
    <w:link w:val="NoSpacing"/>
    <w:uiPriority w:val="1"/>
    <w:rsid w:val="008D1FC7"/>
    <w:rPr>
      <w:rFonts w:ascii="Calibri" w:eastAsia="Calibri" w:hAnsi="Calibri"/>
      <w:sz w:val="22"/>
      <w:szCs w:val="22"/>
    </w:rPr>
  </w:style>
  <w:style w:type="table" w:styleId="TableGrid">
    <w:name w:val="Table Grid"/>
    <w:basedOn w:val="TableNormal"/>
    <w:uiPriority w:val="59"/>
    <w:rsid w:val="008D1FC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D1FC7"/>
  </w:style>
  <w:style w:type="character" w:styleId="Emphasis">
    <w:name w:val="Emphasis"/>
    <w:uiPriority w:val="20"/>
    <w:qFormat/>
    <w:rsid w:val="00A90114"/>
    <w:rPr>
      <w:i/>
      <w:iCs/>
    </w:rPr>
  </w:style>
  <w:style w:type="paragraph" w:customStyle="1" w:styleId="APA-Level1Heading">
    <w:name w:val="APA-Level 1 Heading"/>
    <w:basedOn w:val="Normal"/>
    <w:qFormat/>
    <w:rsid w:val="00A90114"/>
    <w:pPr>
      <w:widowControl/>
      <w:spacing w:after="0" w:line="276" w:lineRule="auto"/>
      <w:jc w:val="center"/>
    </w:pPr>
    <w:rPr>
      <w:rFonts w:eastAsia="Calibri"/>
      <w:b/>
      <w:snapToGrid/>
      <w:sz w:val="24"/>
      <w:szCs w:val="24"/>
      <w:lang w:eastAsia="en-US"/>
    </w:rPr>
  </w:style>
  <w:style w:type="paragraph" w:customStyle="1" w:styleId="Subhead1">
    <w:name w:val="Subhead 1"/>
    <w:basedOn w:val="Normal"/>
    <w:rsid w:val="00A90114"/>
    <w:pPr>
      <w:widowControl/>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hAnsi="Arial" w:cs="Arial"/>
      <w:b/>
      <w:bCs/>
      <w:caps/>
      <w:snapToGrid/>
      <w:color w:val="000000"/>
      <w:sz w:val="24"/>
      <w:szCs w:val="24"/>
      <w:lang w:eastAsia="en-US"/>
    </w:rPr>
  </w:style>
  <w:style w:type="paragraph" w:customStyle="1" w:styleId="Default">
    <w:name w:val="Default"/>
    <w:rsid w:val="00A90114"/>
    <w:pPr>
      <w:autoSpaceDE w:val="0"/>
      <w:autoSpaceDN w:val="0"/>
      <w:adjustRightInd w:val="0"/>
    </w:pPr>
    <w:rPr>
      <w:rFonts w:eastAsia="Calibri"/>
      <w:color w:val="000000"/>
      <w:sz w:val="24"/>
      <w:szCs w:val="24"/>
    </w:rPr>
  </w:style>
  <w:style w:type="paragraph" w:customStyle="1" w:styleId="APA-References">
    <w:name w:val="APA - References"/>
    <w:basedOn w:val="Normal"/>
    <w:qFormat/>
    <w:rsid w:val="00A90114"/>
    <w:pPr>
      <w:tabs>
        <w:tab w:val="left" w:pos="3720"/>
      </w:tabs>
      <w:spacing w:before="120" w:after="120"/>
      <w:ind w:left="720" w:hanging="720"/>
    </w:pPr>
    <w:rPr>
      <w:snapToGrid/>
      <w:sz w:val="24"/>
      <w:szCs w:val="24"/>
      <w:lang w:eastAsia="ru-RU"/>
    </w:rPr>
  </w:style>
  <w:style w:type="paragraph" w:customStyle="1" w:styleId="FreeForm">
    <w:name w:val="Free Form"/>
    <w:rsid w:val="00325FA0"/>
    <w:rPr>
      <w:rFonts w:eastAsia="ヒラギノ角ゴ Pro W3"/>
      <w:color w:val="000000"/>
    </w:rPr>
  </w:style>
  <w:style w:type="paragraph" w:styleId="BodyTextIndent2">
    <w:name w:val="Body Text Indent 2"/>
    <w:basedOn w:val="Normal"/>
    <w:link w:val="BodyTextIndent2Char"/>
    <w:uiPriority w:val="99"/>
    <w:rsid w:val="00AC0D5C"/>
    <w:pPr>
      <w:widowControl/>
      <w:spacing w:after="0" w:line="360" w:lineRule="auto"/>
      <w:ind w:firstLine="709"/>
    </w:pPr>
    <w:rPr>
      <w:snapToGrid/>
      <w:sz w:val="24"/>
      <w:szCs w:val="24"/>
      <w:lang w:val="uk-UA" w:eastAsia="ru-RU"/>
    </w:rPr>
  </w:style>
  <w:style w:type="character" w:customStyle="1" w:styleId="BodyTextIndent2Char">
    <w:name w:val="Body Text Indent 2 Char"/>
    <w:basedOn w:val="DefaultParagraphFont"/>
    <w:link w:val="BodyTextIndent2"/>
    <w:uiPriority w:val="99"/>
    <w:rsid w:val="00AC0D5C"/>
    <w:rPr>
      <w:sz w:val="24"/>
      <w:szCs w:val="24"/>
      <w:lang w:val="uk-UA" w:eastAsia="ru-RU"/>
    </w:rPr>
  </w:style>
  <w:style w:type="character" w:customStyle="1" w:styleId="st">
    <w:name w:val="st"/>
    <w:basedOn w:val="DefaultParagraphFont"/>
    <w:rsid w:val="00AC0D5C"/>
  </w:style>
  <w:style w:type="character" w:customStyle="1" w:styleId="longtext">
    <w:name w:val="long_text"/>
    <w:rsid w:val="00AC0D5C"/>
  </w:style>
  <w:style w:type="character" w:styleId="EndnoteReference">
    <w:name w:val="endnote reference"/>
    <w:uiPriority w:val="99"/>
    <w:rsid w:val="00AC0D5C"/>
    <w:rPr>
      <w:vertAlign w:val="superscript"/>
    </w:rPr>
  </w:style>
  <w:style w:type="paragraph" w:styleId="EndnoteText">
    <w:name w:val="endnote text"/>
    <w:basedOn w:val="Normal"/>
    <w:link w:val="EndnoteTextChar"/>
    <w:uiPriority w:val="99"/>
    <w:rsid w:val="00AC0D5C"/>
    <w:pPr>
      <w:widowControl/>
      <w:spacing w:after="0"/>
    </w:pPr>
    <w:rPr>
      <w:snapToGrid/>
      <w:sz w:val="20"/>
      <w:lang w:eastAsia="en-US"/>
    </w:rPr>
  </w:style>
  <w:style w:type="character" w:customStyle="1" w:styleId="EndnoteTextChar">
    <w:name w:val="Endnote Text Char"/>
    <w:basedOn w:val="DefaultParagraphFont"/>
    <w:link w:val="EndnoteText"/>
    <w:uiPriority w:val="99"/>
    <w:rsid w:val="00AC0D5C"/>
  </w:style>
  <w:style w:type="character" w:customStyle="1" w:styleId="hps">
    <w:name w:val="hps"/>
    <w:rsid w:val="00AC0D5C"/>
  </w:style>
  <w:style w:type="character" w:customStyle="1" w:styleId="shorttext">
    <w:name w:val="short_text"/>
    <w:rsid w:val="00AC0D5C"/>
  </w:style>
  <w:style w:type="character" w:customStyle="1" w:styleId="atn">
    <w:name w:val="atn"/>
    <w:rsid w:val="00AC0D5C"/>
  </w:style>
  <w:style w:type="character" w:customStyle="1" w:styleId="byline">
    <w:name w:val="byline"/>
    <w:rsid w:val="00AC0D5C"/>
  </w:style>
  <w:style w:type="paragraph" w:styleId="NormalWeb">
    <w:name w:val="Normal (Web)"/>
    <w:aliases w:val=" Знак,Обычный (веб) Знак,Обычный (Web), Знак1 Знак Знак Знак Знак, Знак1 Знак Знак Знак"/>
    <w:basedOn w:val="Normal"/>
    <w:link w:val="NormalWebChar"/>
    <w:uiPriority w:val="99"/>
    <w:rsid w:val="00C703F5"/>
    <w:pPr>
      <w:widowControl/>
      <w:spacing w:before="100" w:beforeAutospacing="1" w:after="100" w:afterAutospacing="1"/>
      <w:jc w:val="left"/>
    </w:pPr>
    <w:rPr>
      <w:snapToGrid/>
      <w:sz w:val="24"/>
      <w:szCs w:val="24"/>
      <w:lang w:eastAsia="en-US"/>
    </w:rPr>
  </w:style>
  <w:style w:type="character" w:styleId="HTMLCite">
    <w:name w:val="HTML Cite"/>
    <w:uiPriority w:val="99"/>
    <w:rsid w:val="00C703F5"/>
    <w:rPr>
      <w:i/>
      <w:iCs/>
    </w:rPr>
  </w:style>
  <w:style w:type="character" w:customStyle="1" w:styleId="lrgbold">
    <w:name w:val="lrg bold"/>
    <w:basedOn w:val="DefaultParagraphFont"/>
    <w:rsid w:val="00C703F5"/>
  </w:style>
  <w:style w:type="character" w:customStyle="1" w:styleId="medreg">
    <w:name w:val="med reg"/>
    <w:basedOn w:val="DefaultParagraphFont"/>
    <w:rsid w:val="00C703F5"/>
  </w:style>
  <w:style w:type="character" w:customStyle="1" w:styleId="js-wrap">
    <w:name w:val="js-wrap"/>
    <w:basedOn w:val="DefaultParagraphFont"/>
    <w:rsid w:val="00C703F5"/>
  </w:style>
  <w:style w:type="paragraph" w:customStyle="1" w:styleId="APAHeader">
    <w:name w:val="APA Header"/>
    <w:basedOn w:val="Normal"/>
    <w:rsid w:val="001759DB"/>
    <w:pPr>
      <w:widowControl/>
      <w:spacing w:after="0" w:line="480" w:lineRule="auto"/>
      <w:jc w:val="center"/>
    </w:pPr>
    <w:rPr>
      <w:rFonts w:cs="Arial"/>
      <w:snapToGrid/>
      <w:sz w:val="24"/>
      <w:lang w:eastAsia="en-US"/>
    </w:rPr>
  </w:style>
  <w:style w:type="paragraph" w:customStyle="1" w:styleId="Second-LevelBulletedListHollow">
    <w:name w:val="Second-Level Bulleted List (Hollow)"/>
    <w:basedOn w:val="Normal"/>
    <w:qFormat/>
    <w:rsid w:val="001759DB"/>
    <w:pPr>
      <w:widowControl/>
      <w:numPr>
        <w:ilvl w:val="1"/>
        <w:numId w:val="2"/>
      </w:numPr>
      <w:spacing w:after="0"/>
      <w:jc w:val="left"/>
    </w:pPr>
    <w:rPr>
      <w:rFonts w:ascii="Arial" w:hAnsi="Arial" w:cs="Arial"/>
      <w:snapToGrid/>
      <w:sz w:val="20"/>
      <w:lang w:eastAsia="en-US"/>
    </w:rPr>
  </w:style>
  <w:style w:type="paragraph" w:customStyle="1" w:styleId="OnlineGroundStudentInstructionsL1BulletItalics">
    <w:name w:val="Online/Ground Student Instructions (L1 Bullet + Italics)"/>
    <w:basedOn w:val="Normal"/>
    <w:next w:val="Second-LevelBulletedListHollow"/>
    <w:qFormat/>
    <w:rsid w:val="001759DB"/>
    <w:pPr>
      <w:widowControl/>
      <w:numPr>
        <w:numId w:val="2"/>
      </w:numPr>
      <w:tabs>
        <w:tab w:val="clear" w:pos="720"/>
        <w:tab w:val="num" w:pos="1080"/>
      </w:tabs>
      <w:spacing w:after="240"/>
      <w:ind w:left="1080"/>
      <w:jc w:val="left"/>
    </w:pPr>
    <w:rPr>
      <w:rFonts w:ascii="Arial" w:hAnsi="Arial" w:cs="Arial"/>
      <w:b/>
      <w:i/>
      <w:snapToGrid/>
      <w:sz w:val="20"/>
      <w:lang w:eastAsia="en-US"/>
    </w:rPr>
  </w:style>
  <w:style w:type="paragraph" w:styleId="CommentText">
    <w:name w:val="annotation text"/>
    <w:basedOn w:val="Normal"/>
    <w:link w:val="CommentTextChar"/>
    <w:uiPriority w:val="99"/>
    <w:rsid w:val="001759DB"/>
    <w:pPr>
      <w:widowControl/>
      <w:spacing w:before="60" w:after="0"/>
      <w:ind w:firstLine="720"/>
      <w:jc w:val="left"/>
    </w:pPr>
    <w:rPr>
      <w:snapToGrid/>
      <w:sz w:val="20"/>
      <w:lang w:eastAsia="en-US"/>
    </w:rPr>
  </w:style>
  <w:style w:type="character" w:customStyle="1" w:styleId="CommentTextChar">
    <w:name w:val="Comment Text Char"/>
    <w:basedOn w:val="DefaultParagraphFont"/>
    <w:link w:val="CommentText"/>
    <w:uiPriority w:val="99"/>
    <w:rsid w:val="001759DB"/>
  </w:style>
  <w:style w:type="character" w:styleId="CommentReference">
    <w:name w:val="annotation reference"/>
    <w:uiPriority w:val="99"/>
    <w:semiHidden/>
    <w:rsid w:val="001759DB"/>
    <w:rPr>
      <w:sz w:val="16"/>
      <w:szCs w:val="16"/>
    </w:rPr>
  </w:style>
  <w:style w:type="paragraph" w:styleId="Bibliography">
    <w:name w:val="Bibliography"/>
    <w:basedOn w:val="Normal"/>
    <w:next w:val="Normal"/>
    <w:uiPriority w:val="37"/>
    <w:semiHidden/>
    <w:unhideWhenUsed/>
    <w:rsid w:val="00A57701"/>
  </w:style>
  <w:style w:type="table" w:customStyle="1" w:styleId="LightShading3">
    <w:name w:val="Light Shading3"/>
    <w:basedOn w:val="TableNormal"/>
    <w:uiPriority w:val="60"/>
    <w:rsid w:val="00A57701"/>
    <w:rPr>
      <w:rFonts w:asciiTheme="minorHAnsi" w:eastAsiaTheme="minorEastAsia" w:hAnsiTheme="minorHAnsi" w:cstheme="minorBidi"/>
      <w:color w:val="000000" w:themeColor="text1" w:themeShade="BF"/>
      <w:sz w:val="24"/>
      <w:szCs w:val="24"/>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link w:val="TitleChar"/>
    <w:uiPriority w:val="10"/>
    <w:qFormat/>
    <w:rsid w:val="00B10487"/>
    <w:pPr>
      <w:widowControl/>
      <w:spacing w:before="240" w:after="60"/>
      <w:jc w:val="center"/>
      <w:outlineLvl w:val="0"/>
    </w:pPr>
    <w:rPr>
      <w:rFonts w:ascii="Cambria" w:hAnsi="Cambria"/>
      <w:b/>
      <w:bCs/>
      <w:snapToGrid/>
      <w:kern w:val="28"/>
      <w:sz w:val="32"/>
      <w:szCs w:val="32"/>
      <w:lang w:val="cs-CZ" w:eastAsia="en-US"/>
    </w:rPr>
  </w:style>
  <w:style w:type="character" w:customStyle="1" w:styleId="TitleChar">
    <w:name w:val="Title Char"/>
    <w:basedOn w:val="DefaultParagraphFont"/>
    <w:link w:val="Title"/>
    <w:uiPriority w:val="10"/>
    <w:rsid w:val="00B10487"/>
    <w:rPr>
      <w:rFonts w:ascii="Cambria" w:hAnsi="Cambria"/>
      <w:b/>
      <w:bCs/>
      <w:kern w:val="28"/>
      <w:sz w:val="32"/>
      <w:szCs w:val="32"/>
      <w:lang w:val="cs-CZ"/>
    </w:rPr>
  </w:style>
  <w:style w:type="paragraph" w:customStyle="1" w:styleId="APA-Level2Heading">
    <w:name w:val="APA-Level 2 Heading"/>
    <w:basedOn w:val="APA-Level1Heading"/>
    <w:qFormat/>
    <w:rsid w:val="00B10487"/>
    <w:pPr>
      <w:jc w:val="left"/>
    </w:pPr>
    <w:rPr>
      <w:rFonts w:eastAsiaTheme="minorHAnsi"/>
    </w:rPr>
  </w:style>
  <w:style w:type="paragraph" w:customStyle="1" w:styleId="Odstavec">
    <w:name w:val="Odstavec"/>
    <w:basedOn w:val="Normal"/>
    <w:rsid w:val="00B10487"/>
    <w:pPr>
      <w:widowControl/>
      <w:spacing w:after="0"/>
    </w:pPr>
    <w:rPr>
      <w:snapToGrid/>
      <w:sz w:val="24"/>
      <w:szCs w:val="24"/>
      <w:lang w:val="cs-CZ" w:eastAsia="cs-CZ"/>
    </w:rPr>
  </w:style>
  <w:style w:type="paragraph" w:customStyle="1" w:styleId="Textodstavce">
    <w:name w:val="Text odstavce"/>
    <w:basedOn w:val="Normal"/>
    <w:rsid w:val="00B10487"/>
    <w:pPr>
      <w:widowControl/>
      <w:spacing w:after="0"/>
    </w:pPr>
    <w:rPr>
      <w:snapToGrid/>
      <w:szCs w:val="22"/>
      <w:lang w:eastAsia="cs-CZ"/>
    </w:rPr>
  </w:style>
  <w:style w:type="character" w:customStyle="1" w:styleId="citation">
    <w:name w:val="citation"/>
    <w:basedOn w:val="DefaultParagraphFont"/>
    <w:rsid w:val="00B10487"/>
  </w:style>
  <w:style w:type="paragraph" w:styleId="BodyText3">
    <w:name w:val="Body Text 3"/>
    <w:basedOn w:val="Normal"/>
    <w:link w:val="BodyText3Char"/>
    <w:uiPriority w:val="99"/>
    <w:semiHidden/>
    <w:unhideWhenUsed/>
    <w:rsid w:val="000005D5"/>
    <w:pPr>
      <w:spacing w:after="120"/>
    </w:pPr>
    <w:rPr>
      <w:sz w:val="16"/>
      <w:szCs w:val="16"/>
    </w:rPr>
  </w:style>
  <w:style w:type="character" w:customStyle="1" w:styleId="BodyText3Char">
    <w:name w:val="Body Text 3 Char"/>
    <w:basedOn w:val="DefaultParagraphFont"/>
    <w:link w:val="BodyText3"/>
    <w:uiPriority w:val="99"/>
    <w:semiHidden/>
    <w:rsid w:val="000005D5"/>
    <w:rPr>
      <w:snapToGrid w:val="0"/>
      <w:sz w:val="16"/>
      <w:szCs w:val="16"/>
      <w:lang w:eastAsia="es-ES"/>
    </w:rPr>
  </w:style>
  <w:style w:type="paragraph" w:styleId="BodyText">
    <w:name w:val="Body Text"/>
    <w:basedOn w:val="Normal"/>
    <w:link w:val="BodyTextChar"/>
    <w:uiPriority w:val="99"/>
    <w:unhideWhenUsed/>
    <w:rsid w:val="00395FC4"/>
    <w:pPr>
      <w:spacing w:after="120"/>
    </w:pPr>
  </w:style>
  <w:style w:type="character" w:customStyle="1" w:styleId="BodyTextChar">
    <w:name w:val="Body Text Char"/>
    <w:basedOn w:val="DefaultParagraphFont"/>
    <w:link w:val="BodyText"/>
    <w:uiPriority w:val="99"/>
    <w:rsid w:val="00395FC4"/>
    <w:rPr>
      <w:snapToGrid w:val="0"/>
      <w:sz w:val="22"/>
      <w:lang w:eastAsia="es-ES"/>
    </w:rPr>
  </w:style>
  <w:style w:type="character" w:customStyle="1" w:styleId="NormalWebChar">
    <w:name w:val="Normal (Web) Char"/>
    <w:aliases w:val=" Знак Char,Обычный (веб) Знак Char,Обычный (Web) Char, Знак1 Знак Знак Знак Знак Char, Знак1 Знак Знак Знак Char"/>
    <w:link w:val="NormalWeb"/>
    <w:rsid w:val="00395FC4"/>
    <w:rPr>
      <w:sz w:val="24"/>
      <w:szCs w:val="24"/>
    </w:rPr>
  </w:style>
  <w:style w:type="character" w:customStyle="1" w:styleId="ListParagraphChar">
    <w:name w:val="List Paragraph Char"/>
    <w:link w:val="ListParagraph"/>
    <w:locked/>
    <w:rsid w:val="00395FC4"/>
    <w:rPr>
      <w:rFonts w:ascii="Calibri" w:hAnsi="Calibri"/>
      <w:sz w:val="22"/>
      <w:szCs w:val="22"/>
      <w:lang w:val="en-GB"/>
    </w:rPr>
  </w:style>
  <w:style w:type="paragraph" w:customStyle="1" w:styleId="smalllink">
    <w:name w:val="smalllink"/>
    <w:basedOn w:val="Normal"/>
    <w:rsid w:val="00395FC4"/>
    <w:pPr>
      <w:widowControl/>
      <w:spacing w:before="100" w:beforeAutospacing="1" w:after="100" w:afterAutospacing="1"/>
      <w:jc w:val="left"/>
    </w:pPr>
    <w:rPr>
      <w:snapToGrid/>
      <w:sz w:val="24"/>
      <w:szCs w:val="24"/>
      <w:lang w:val="ru-RU" w:eastAsia="ru-RU"/>
    </w:rPr>
  </w:style>
  <w:style w:type="character" w:customStyle="1" w:styleId="correspondence-addressover">
    <w:name w:val="correspondence-address_over"/>
    <w:rsid w:val="00395FC4"/>
  </w:style>
  <w:style w:type="character" w:styleId="Strong">
    <w:name w:val="Strong"/>
    <w:basedOn w:val="DefaultParagraphFont"/>
    <w:uiPriority w:val="22"/>
    <w:qFormat/>
    <w:rsid w:val="006A52F0"/>
    <w:rPr>
      <w:b/>
      <w:bCs/>
    </w:rPr>
  </w:style>
  <w:style w:type="table" w:customStyle="1" w:styleId="TableGrid1">
    <w:name w:val="Table Grid1"/>
    <w:basedOn w:val="TableNormal"/>
    <w:next w:val="TableGrid"/>
    <w:uiPriority w:val="39"/>
    <w:rsid w:val="001901EA"/>
    <w:rPr>
      <w:rFonts w:ascii="Calibri" w:eastAsia="Calibri" w:hAnsi="Calibr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rsid w:val="00F84004"/>
    <w:pPr>
      <w:widowControl/>
      <w:suppressAutoHyphens/>
      <w:spacing w:before="100" w:after="100" w:line="100" w:lineRule="atLeast"/>
      <w:jc w:val="left"/>
    </w:pPr>
    <w:rPr>
      <w:snapToGrid/>
      <w:kern w:val="1"/>
      <w:sz w:val="24"/>
      <w:szCs w:val="24"/>
      <w:lang w:val="de-AT" w:eastAsia="ar-SA"/>
    </w:rPr>
  </w:style>
  <w:style w:type="paragraph" w:customStyle="1" w:styleId="BodyText21">
    <w:name w:val="Body Text 21"/>
    <w:basedOn w:val="Normal"/>
    <w:rsid w:val="00F84004"/>
    <w:pPr>
      <w:spacing w:before="120" w:after="120" w:line="276" w:lineRule="auto"/>
    </w:pPr>
    <w:rPr>
      <w:rFonts w:ascii="SwissCyrLightCondensed" w:hAnsi="SwissCyrLightCondensed"/>
      <w:snapToGrid/>
      <w:color w:val="000000"/>
      <w:sz w:val="24"/>
      <w:lang w:val="hu-HU" w:eastAsia="hu-HU"/>
    </w:rPr>
  </w:style>
  <w:style w:type="paragraph" w:styleId="CommentSubject">
    <w:name w:val="annotation subject"/>
    <w:basedOn w:val="CommentText"/>
    <w:next w:val="CommentText"/>
    <w:link w:val="CommentSubjectChar"/>
    <w:uiPriority w:val="99"/>
    <w:semiHidden/>
    <w:unhideWhenUsed/>
    <w:rsid w:val="00214544"/>
    <w:pPr>
      <w:widowControl w:val="0"/>
      <w:spacing w:before="0" w:after="220"/>
      <w:ind w:firstLine="0"/>
      <w:jc w:val="both"/>
    </w:pPr>
    <w:rPr>
      <w:b/>
      <w:bCs/>
      <w:snapToGrid w:val="0"/>
      <w:lang w:eastAsia="es-ES"/>
    </w:rPr>
  </w:style>
  <w:style w:type="character" w:customStyle="1" w:styleId="CommentSubjectChar">
    <w:name w:val="Comment Subject Char"/>
    <w:basedOn w:val="CommentTextChar"/>
    <w:link w:val="CommentSubject"/>
    <w:uiPriority w:val="99"/>
    <w:semiHidden/>
    <w:rsid w:val="00214544"/>
    <w:rPr>
      <w:b/>
      <w:bCs/>
      <w:snapToGrid w:val="0"/>
      <w:lang w:eastAsia="es-ES"/>
    </w:rPr>
  </w:style>
  <w:style w:type="paragraph" w:styleId="BodyTextIndent">
    <w:name w:val="Body Text Indent"/>
    <w:basedOn w:val="Normal"/>
    <w:link w:val="BodyTextIndentChar"/>
    <w:semiHidden/>
    <w:unhideWhenUsed/>
    <w:rsid w:val="009E495D"/>
    <w:pPr>
      <w:spacing w:after="120"/>
      <w:ind w:left="360"/>
    </w:pPr>
  </w:style>
  <w:style w:type="character" w:customStyle="1" w:styleId="BodyTextIndentChar">
    <w:name w:val="Body Text Indent Char"/>
    <w:basedOn w:val="DefaultParagraphFont"/>
    <w:link w:val="BodyTextIndent"/>
    <w:semiHidden/>
    <w:rsid w:val="009E495D"/>
    <w:rPr>
      <w:snapToGrid w:val="0"/>
      <w:sz w:val="22"/>
      <w:lang w:eastAsia="es-ES"/>
    </w:rPr>
  </w:style>
  <w:style w:type="paragraph" w:styleId="HTMLPreformatted">
    <w:name w:val="HTML Preformatted"/>
    <w:basedOn w:val="Normal"/>
    <w:link w:val="HTMLPreformattedChar"/>
    <w:uiPriority w:val="99"/>
    <w:rsid w:val="00DB37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napToGrid/>
      <w:sz w:val="20"/>
      <w:lang w:val="pl-PL" w:eastAsia="pl-PL"/>
    </w:rPr>
  </w:style>
  <w:style w:type="character" w:customStyle="1" w:styleId="HTMLPreformattedChar">
    <w:name w:val="HTML Preformatted Char"/>
    <w:basedOn w:val="DefaultParagraphFont"/>
    <w:link w:val="HTMLPreformatted"/>
    <w:uiPriority w:val="99"/>
    <w:rsid w:val="00DB37AA"/>
    <w:rPr>
      <w:rFonts w:ascii="Courier New" w:hAnsi="Courier New" w:cs="Courier New"/>
      <w:lang w:val="pl-PL" w:eastAsia="pl-PL"/>
    </w:rPr>
  </w:style>
  <w:style w:type="paragraph" w:styleId="Revision">
    <w:name w:val="Revision"/>
    <w:hidden/>
    <w:uiPriority w:val="99"/>
    <w:semiHidden/>
    <w:rsid w:val="00F35076"/>
    <w:rPr>
      <w:snapToGrid w:val="0"/>
      <w:sz w:val="22"/>
      <w:lang w:eastAsia="es-ES"/>
    </w:rPr>
  </w:style>
  <w:style w:type="character" w:customStyle="1" w:styleId="1">
    <w:name w:val="未处理的提及1"/>
    <w:basedOn w:val="DefaultParagraphFont"/>
    <w:uiPriority w:val="99"/>
    <w:semiHidden/>
    <w:unhideWhenUsed/>
    <w:rsid w:val="009D7C24"/>
    <w:rPr>
      <w:color w:val="808080"/>
      <w:shd w:val="clear" w:color="auto" w:fill="E6E6E6"/>
    </w:rPr>
  </w:style>
  <w:style w:type="paragraph" w:customStyle="1" w:styleId="Heading51">
    <w:name w:val="Heading 51"/>
    <w:basedOn w:val="Normal"/>
    <w:next w:val="Normal"/>
    <w:link w:val="Heading5Char"/>
    <w:uiPriority w:val="9"/>
    <w:semiHidden/>
    <w:unhideWhenUsed/>
    <w:qFormat/>
    <w:rsid w:val="001C059C"/>
    <w:pPr>
      <w:keepNext/>
      <w:keepLines/>
      <w:widowControl/>
      <w:spacing w:before="200" w:after="0" w:line="259" w:lineRule="auto"/>
      <w:jc w:val="left"/>
      <w:outlineLvl w:val="4"/>
    </w:pPr>
    <w:rPr>
      <w:rFonts w:ascii="Calibri Light" w:eastAsia="Times New Roman" w:hAnsi="Calibri Light"/>
      <w:snapToGrid/>
      <w:color w:val="1F3763"/>
      <w:sz w:val="20"/>
      <w:lang w:eastAsia="en-US"/>
    </w:rPr>
  </w:style>
  <w:style w:type="paragraph" w:customStyle="1" w:styleId="Heading61">
    <w:name w:val="Heading 61"/>
    <w:basedOn w:val="Normal"/>
    <w:next w:val="Normal"/>
    <w:link w:val="Heading6Char"/>
    <w:uiPriority w:val="9"/>
    <w:semiHidden/>
    <w:unhideWhenUsed/>
    <w:qFormat/>
    <w:rsid w:val="001C059C"/>
    <w:pPr>
      <w:keepNext/>
      <w:keepLines/>
      <w:widowControl/>
      <w:spacing w:before="200" w:after="0" w:line="259" w:lineRule="auto"/>
      <w:jc w:val="left"/>
      <w:outlineLvl w:val="5"/>
    </w:pPr>
    <w:rPr>
      <w:rFonts w:ascii="Calibri Light" w:eastAsia="Times New Roman" w:hAnsi="Calibri Light"/>
      <w:i/>
      <w:iCs/>
      <w:snapToGrid/>
      <w:color w:val="1F3763"/>
      <w:sz w:val="20"/>
      <w:lang w:eastAsia="en-US"/>
    </w:rPr>
  </w:style>
  <w:style w:type="paragraph" w:customStyle="1" w:styleId="Heading71">
    <w:name w:val="Heading 71"/>
    <w:basedOn w:val="Normal"/>
    <w:next w:val="Normal"/>
    <w:link w:val="Heading7Char"/>
    <w:uiPriority w:val="9"/>
    <w:semiHidden/>
    <w:unhideWhenUsed/>
    <w:qFormat/>
    <w:rsid w:val="001C059C"/>
    <w:pPr>
      <w:keepNext/>
      <w:keepLines/>
      <w:widowControl/>
      <w:spacing w:before="200" w:after="0" w:line="259" w:lineRule="auto"/>
      <w:jc w:val="left"/>
      <w:outlineLvl w:val="6"/>
    </w:pPr>
    <w:rPr>
      <w:rFonts w:ascii="Calibri Light" w:eastAsia="Times New Roman" w:hAnsi="Calibri Light"/>
      <w:i/>
      <w:iCs/>
      <w:snapToGrid/>
      <w:color w:val="404040"/>
      <w:sz w:val="20"/>
      <w:lang w:eastAsia="en-US"/>
    </w:rPr>
  </w:style>
  <w:style w:type="paragraph" w:customStyle="1" w:styleId="Heading81">
    <w:name w:val="Heading 81"/>
    <w:basedOn w:val="Normal"/>
    <w:next w:val="Normal"/>
    <w:link w:val="Heading8Char"/>
    <w:uiPriority w:val="9"/>
    <w:semiHidden/>
    <w:unhideWhenUsed/>
    <w:qFormat/>
    <w:rsid w:val="001C059C"/>
    <w:pPr>
      <w:keepNext/>
      <w:keepLines/>
      <w:widowControl/>
      <w:spacing w:before="200" w:after="0" w:line="259" w:lineRule="auto"/>
      <w:jc w:val="left"/>
      <w:outlineLvl w:val="7"/>
    </w:pPr>
    <w:rPr>
      <w:rFonts w:ascii="Calibri Light" w:eastAsia="Times New Roman" w:hAnsi="Calibri Light"/>
      <w:snapToGrid/>
      <w:color w:val="404040"/>
      <w:sz w:val="20"/>
      <w:lang w:eastAsia="en-US"/>
    </w:rPr>
  </w:style>
  <w:style w:type="paragraph" w:customStyle="1" w:styleId="Heading91">
    <w:name w:val="Heading 91"/>
    <w:basedOn w:val="Normal"/>
    <w:next w:val="Normal"/>
    <w:link w:val="Heading9Char"/>
    <w:uiPriority w:val="9"/>
    <w:semiHidden/>
    <w:unhideWhenUsed/>
    <w:qFormat/>
    <w:rsid w:val="001C059C"/>
    <w:pPr>
      <w:keepNext/>
      <w:keepLines/>
      <w:widowControl/>
      <w:spacing w:before="200" w:after="0" w:line="259" w:lineRule="auto"/>
      <w:jc w:val="left"/>
      <w:outlineLvl w:val="8"/>
    </w:pPr>
    <w:rPr>
      <w:rFonts w:ascii="Calibri Light" w:eastAsia="Times New Roman" w:hAnsi="Calibri Light"/>
      <w:i/>
      <w:iCs/>
      <w:snapToGrid/>
      <w:color w:val="404040"/>
      <w:sz w:val="20"/>
      <w:lang w:eastAsia="en-US"/>
    </w:rPr>
  </w:style>
  <w:style w:type="numbering" w:customStyle="1" w:styleId="NoList1">
    <w:name w:val="No List1"/>
    <w:next w:val="NoList"/>
    <w:uiPriority w:val="99"/>
    <w:semiHidden/>
    <w:unhideWhenUsed/>
    <w:rsid w:val="001C059C"/>
  </w:style>
  <w:style w:type="paragraph" w:customStyle="1" w:styleId="CitaviBibliographyEntry">
    <w:name w:val="Citavi Bibliography Entry"/>
    <w:basedOn w:val="Normal"/>
    <w:link w:val="CitaviBibliographyEntryZchn"/>
    <w:rsid w:val="001C059C"/>
    <w:pPr>
      <w:widowControl/>
      <w:spacing w:after="120" w:line="259" w:lineRule="auto"/>
      <w:jc w:val="left"/>
    </w:pPr>
    <w:rPr>
      <w:rFonts w:ascii="Gulliver-Regular" w:eastAsia="Calibri" w:hAnsi="Gulliver-Regular"/>
      <w:snapToGrid/>
      <w:sz w:val="20"/>
      <w:szCs w:val="22"/>
      <w:lang w:val="en-GB" w:eastAsia="en-US"/>
    </w:rPr>
  </w:style>
  <w:style w:type="character" w:customStyle="1" w:styleId="CitaviBibliographyEntryZchn">
    <w:name w:val="Citavi Bibliography Entry Zchn"/>
    <w:basedOn w:val="DefaultParagraphFont"/>
    <w:link w:val="CitaviBibliographyEntry"/>
    <w:rsid w:val="001C059C"/>
    <w:rPr>
      <w:rFonts w:ascii="Gulliver-Regular" w:eastAsia="Calibri" w:hAnsi="Gulliver-Regular"/>
      <w:szCs w:val="22"/>
      <w:lang w:val="en-GB"/>
    </w:rPr>
  </w:style>
  <w:style w:type="paragraph" w:customStyle="1" w:styleId="CitaviBibliographyHeading">
    <w:name w:val="Citavi Bibliography Heading"/>
    <w:basedOn w:val="Heading1"/>
    <w:link w:val="CitaviBibliographyHeadingZchn"/>
    <w:rsid w:val="001C059C"/>
    <w:pPr>
      <w:keepLines/>
      <w:widowControl/>
      <w:spacing w:before="480" w:after="0" w:line="259" w:lineRule="auto"/>
      <w:jc w:val="left"/>
    </w:pPr>
    <w:rPr>
      <w:rFonts w:ascii="Calibri Light" w:eastAsia="Times New Roman" w:hAnsi="Calibri Light" w:cs="Times New Roman"/>
      <w:caps w:val="0"/>
      <w:snapToGrid/>
      <w:color w:val="2F5496"/>
      <w:kern w:val="0"/>
      <w:sz w:val="28"/>
      <w:szCs w:val="28"/>
      <w:lang w:val="en-GB" w:eastAsia="en-US"/>
    </w:rPr>
  </w:style>
  <w:style w:type="character" w:customStyle="1" w:styleId="CitaviBibliographyHeadingZchn">
    <w:name w:val="Citavi Bibliography Heading Zchn"/>
    <w:basedOn w:val="DefaultParagraphFont"/>
    <w:link w:val="CitaviBibliographyHeading"/>
    <w:rsid w:val="001C059C"/>
    <w:rPr>
      <w:rFonts w:ascii="Calibri Light" w:eastAsia="Times New Roman" w:hAnsi="Calibri Light"/>
      <w:b/>
      <w:bCs/>
      <w:color w:val="2F5496"/>
      <w:sz w:val="28"/>
      <w:szCs w:val="28"/>
      <w:lang w:val="en-GB"/>
    </w:rPr>
  </w:style>
  <w:style w:type="paragraph" w:customStyle="1" w:styleId="CitaviBibliographySubheading1">
    <w:name w:val="Citavi Bibliography Subheading 1"/>
    <w:basedOn w:val="Heading2"/>
    <w:link w:val="CitaviBibliographySubheading1Zchn"/>
    <w:rsid w:val="001C059C"/>
    <w:pPr>
      <w:keepLines/>
      <w:widowControl/>
      <w:spacing w:before="200" w:after="0" w:line="259" w:lineRule="auto"/>
      <w:jc w:val="left"/>
      <w:outlineLvl w:val="9"/>
    </w:pPr>
    <w:rPr>
      <w:rFonts w:ascii="Calibri Light" w:eastAsia="Times New Roman" w:hAnsi="Calibri Light" w:cs="Calibri"/>
      <w:iCs w:val="0"/>
      <w:snapToGrid/>
      <w:color w:val="4472C4"/>
      <w:sz w:val="20"/>
      <w:szCs w:val="20"/>
      <w:lang w:val="en-GB" w:eastAsia="en-US"/>
    </w:rPr>
  </w:style>
  <w:style w:type="character" w:customStyle="1" w:styleId="CitaviBibliographySubheading1Zchn">
    <w:name w:val="Citavi Bibliography Subheading 1 Zchn"/>
    <w:basedOn w:val="DefaultParagraphFont"/>
    <w:link w:val="CitaviBibliographySubheading1"/>
    <w:rsid w:val="001C059C"/>
    <w:rPr>
      <w:rFonts w:ascii="Calibri Light" w:eastAsia="Times New Roman" w:hAnsi="Calibri Light" w:cs="Calibri"/>
      <w:b/>
      <w:bCs/>
      <w:color w:val="4472C4"/>
      <w:lang w:val="en-GB"/>
    </w:rPr>
  </w:style>
  <w:style w:type="paragraph" w:customStyle="1" w:styleId="CitaviBibliographySubheading2">
    <w:name w:val="Citavi Bibliography Subheading 2"/>
    <w:basedOn w:val="Heading3"/>
    <w:link w:val="CitaviBibliographySubheading2Zchn"/>
    <w:rsid w:val="001C059C"/>
    <w:pPr>
      <w:keepLines/>
      <w:widowControl/>
      <w:spacing w:before="200" w:after="0" w:line="259" w:lineRule="auto"/>
      <w:jc w:val="left"/>
      <w:outlineLvl w:val="9"/>
    </w:pPr>
    <w:rPr>
      <w:rFonts w:ascii="Calibri Light" w:eastAsia="Times New Roman" w:hAnsi="Calibri Light" w:cs="Calibri"/>
      <w:snapToGrid/>
      <w:color w:val="4472C4"/>
      <w:sz w:val="20"/>
      <w:szCs w:val="20"/>
      <w:lang w:val="en-GB" w:eastAsia="en-US"/>
    </w:rPr>
  </w:style>
  <w:style w:type="character" w:customStyle="1" w:styleId="CitaviBibliographySubheading2Zchn">
    <w:name w:val="Citavi Bibliography Subheading 2 Zchn"/>
    <w:basedOn w:val="DefaultParagraphFont"/>
    <w:link w:val="CitaviBibliographySubheading2"/>
    <w:rsid w:val="001C059C"/>
    <w:rPr>
      <w:rFonts w:ascii="Calibri Light" w:eastAsia="Times New Roman" w:hAnsi="Calibri Light" w:cs="Calibri"/>
      <w:b/>
      <w:bCs/>
      <w:color w:val="4472C4"/>
      <w:lang w:val="en-GB"/>
    </w:rPr>
  </w:style>
  <w:style w:type="paragraph" w:customStyle="1" w:styleId="CitaviBibliographySubheading3">
    <w:name w:val="Citavi Bibliography Subheading 3"/>
    <w:basedOn w:val="Heading4"/>
    <w:link w:val="CitaviBibliographySubheading3Zchn"/>
    <w:rsid w:val="001C059C"/>
    <w:pPr>
      <w:keepNext/>
      <w:keepLines/>
      <w:tabs>
        <w:tab w:val="clear" w:pos="1530"/>
      </w:tabs>
      <w:autoSpaceDE/>
      <w:autoSpaceDN/>
      <w:adjustRightInd/>
      <w:spacing w:before="200" w:beforeAutospacing="0" w:after="0" w:afterAutospacing="0" w:line="259" w:lineRule="auto"/>
      <w:contextualSpacing w:val="0"/>
      <w:jc w:val="left"/>
      <w:outlineLvl w:val="9"/>
    </w:pPr>
    <w:rPr>
      <w:rFonts w:ascii="Calibri Light" w:eastAsia="Times New Roman" w:hAnsi="Calibri Light" w:cs="Calibri"/>
      <w:bCs/>
      <w:iCs/>
      <w:color w:val="4472C4"/>
      <w:sz w:val="20"/>
      <w:szCs w:val="20"/>
    </w:rPr>
  </w:style>
  <w:style w:type="character" w:customStyle="1" w:styleId="CitaviBibliographySubheading3Zchn">
    <w:name w:val="Citavi Bibliography Subheading 3 Zchn"/>
    <w:basedOn w:val="DefaultParagraphFont"/>
    <w:link w:val="CitaviBibliographySubheading3"/>
    <w:rsid w:val="001C059C"/>
    <w:rPr>
      <w:rFonts w:ascii="Calibri Light" w:eastAsia="Times New Roman" w:hAnsi="Calibri Light" w:cs="Calibri"/>
      <w:b/>
      <w:bCs/>
      <w:i/>
      <w:iCs/>
      <w:color w:val="4472C4"/>
      <w:lang w:val="en-GB"/>
    </w:rPr>
  </w:style>
  <w:style w:type="paragraph" w:customStyle="1" w:styleId="CitaviBibliographySubheading4">
    <w:name w:val="Citavi Bibliography Subheading 4"/>
    <w:basedOn w:val="Heading5"/>
    <w:link w:val="CitaviBibliographySubheading4Zchn"/>
    <w:rsid w:val="001C059C"/>
    <w:pPr>
      <w:widowControl/>
      <w:spacing w:line="259" w:lineRule="auto"/>
      <w:jc w:val="left"/>
      <w:outlineLvl w:val="9"/>
    </w:pPr>
    <w:rPr>
      <w:rFonts w:cs="Calibri"/>
      <w:snapToGrid/>
      <w:sz w:val="20"/>
      <w:lang w:val="en-GB" w:eastAsia="en-US"/>
    </w:rPr>
  </w:style>
  <w:style w:type="character" w:customStyle="1" w:styleId="CitaviBibliographySubheading4Zchn">
    <w:name w:val="Citavi Bibliography Subheading 4 Zchn"/>
    <w:basedOn w:val="DefaultParagraphFont"/>
    <w:link w:val="CitaviBibliographySubheading4"/>
    <w:rsid w:val="001C059C"/>
    <w:rPr>
      <w:rFonts w:asciiTheme="majorHAnsi" w:eastAsiaTheme="majorEastAsia" w:hAnsiTheme="majorHAnsi" w:cs="Calibri"/>
      <w:color w:val="243F60" w:themeColor="accent1" w:themeShade="7F"/>
      <w:lang w:val="en-GB"/>
    </w:rPr>
  </w:style>
  <w:style w:type="character" w:customStyle="1" w:styleId="Heading5Char">
    <w:name w:val="Heading 5 Char"/>
    <w:basedOn w:val="DefaultParagraphFont"/>
    <w:link w:val="Heading51"/>
    <w:uiPriority w:val="9"/>
    <w:semiHidden/>
    <w:rsid w:val="001C059C"/>
    <w:rPr>
      <w:rFonts w:ascii="Calibri Light" w:eastAsia="Times New Roman" w:hAnsi="Calibri Light" w:cs="Times New Roman"/>
      <w:color w:val="1F3763"/>
    </w:rPr>
  </w:style>
  <w:style w:type="paragraph" w:customStyle="1" w:styleId="CitaviBibliographySubheading5">
    <w:name w:val="Citavi Bibliography Subheading 5"/>
    <w:basedOn w:val="Heading6"/>
    <w:link w:val="CitaviBibliographySubheading5Zchn"/>
    <w:rsid w:val="001C059C"/>
    <w:pPr>
      <w:widowControl/>
      <w:spacing w:line="259" w:lineRule="auto"/>
      <w:jc w:val="left"/>
      <w:outlineLvl w:val="9"/>
    </w:pPr>
    <w:rPr>
      <w:rFonts w:cs="Calibri"/>
      <w:snapToGrid/>
      <w:sz w:val="20"/>
      <w:lang w:val="en-GB" w:eastAsia="en-US"/>
    </w:rPr>
  </w:style>
  <w:style w:type="character" w:customStyle="1" w:styleId="CitaviBibliographySubheading5Zchn">
    <w:name w:val="Citavi Bibliography Subheading 5 Zchn"/>
    <w:basedOn w:val="DefaultParagraphFont"/>
    <w:link w:val="CitaviBibliographySubheading5"/>
    <w:rsid w:val="001C059C"/>
    <w:rPr>
      <w:rFonts w:asciiTheme="majorHAnsi" w:eastAsiaTheme="majorEastAsia" w:hAnsiTheme="majorHAnsi" w:cs="Calibri"/>
      <w:i/>
      <w:iCs/>
      <w:color w:val="243F60" w:themeColor="accent1" w:themeShade="7F"/>
      <w:lang w:val="en-GB"/>
    </w:rPr>
  </w:style>
  <w:style w:type="character" w:customStyle="1" w:styleId="Heading6Char">
    <w:name w:val="Heading 6 Char"/>
    <w:basedOn w:val="DefaultParagraphFont"/>
    <w:link w:val="Heading61"/>
    <w:uiPriority w:val="9"/>
    <w:semiHidden/>
    <w:rsid w:val="001C059C"/>
    <w:rPr>
      <w:rFonts w:ascii="Calibri Light" w:eastAsia="Times New Roman" w:hAnsi="Calibri Light" w:cs="Times New Roman"/>
      <w:i/>
      <w:iCs/>
      <w:color w:val="1F3763"/>
    </w:rPr>
  </w:style>
  <w:style w:type="paragraph" w:customStyle="1" w:styleId="CitaviBibliographySubheading6">
    <w:name w:val="Citavi Bibliography Subheading 6"/>
    <w:basedOn w:val="Heading7"/>
    <w:link w:val="CitaviBibliographySubheading6Zchn"/>
    <w:rsid w:val="001C059C"/>
    <w:pPr>
      <w:widowControl/>
      <w:spacing w:line="259" w:lineRule="auto"/>
      <w:jc w:val="left"/>
      <w:outlineLvl w:val="9"/>
    </w:pPr>
    <w:rPr>
      <w:rFonts w:cs="Calibri"/>
      <w:snapToGrid/>
      <w:sz w:val="20"/>
      <w:lang w:val="en-GB" w:eastAsia="en-US"/>
    </w:rPr>
  </w:style>
  <w:style w:type="character" w:customStyle="1" w:styleId="CitaviBibliographySubheading6Zchn">
    <w:name w:val="Citavi Bibliography Subheading 6 Zchn"/>
    <w:basedOn w:val="DefaultParagraphFont"/>
    <w:link w:val="CitaviBibliographySubheading6"/>
    <w:rsid w:val="001C059C"/>
    <w:rPr>
      <w:rFonts w:asciiTheme="majorHAnsi" w:eastAsiaTheme="majorEastAsia" w:hAnsiTheme="majorHAnsi" w:cs="Calibri"/>
      <w:i/>
      <w:iCs/>
      <w:color w:val="404040" w:themeColor="text1" w:themeTint="BF"/>
      <w:lang w:val="en-GB"/>
    </w:rPr>
  </w:style>
  <w:style w:type="character" w:customStyle="1" w:styleId="Heading7Char">
    <w:name w:val="Heading 7 Char"/>
    <w:basedOn w:val="DefaultParagraphFont"/>
    <w:link w:val="Heading71"/>
    <w:uiPriority w:val="9"/>
    <w:semiHidden/>
    <w:rsid w:val="001C059C"/>
    <w:rPr>
      <w:rFonts w:ascii="Calibri Light" w:eastAsia="Times New Roman" w:hAnsi="Calibri Light" w:cs="Times New Roman"/>
      <w:i/>
      <w:iCs/>
      <w:color w:val="404040"/>
    </w:rPr>
  </w:style>
  <w:style w:type="paragraph" w:customStyle="1" w:styleId="CitaviBibliographySubheading7">
    <w:name w:val="Citavi Bibliography Subheading 7"/>
    <w:basedOn w:val="Heading8"/>
    <w:link w:val="CitaviBibliographySubheading7Zchn"/>
    <w:rsid w:val="001C059C"/>
    <w:pPr>
      <w:widowControl/>
      <w:spacing w:line="259" w:lineRule="auto"/>
      <w:jc w:val="left"/>
      <w:outlineLvl w:val="9"/>
    </w:pPr>
    <w:rPr>
      <w:rFonts w:cs="Calibri"/>
      <w:snapToGrid/>
      <w:lang w:val="en-GB" w:eastAsia="en-US"/>
    </w:rPr>
  </w:style>
  <w:style w:type="character" w:customStyle="1" w:styleId="CitaviBibliographySubheading7Zchn">
    <w:name w:val="Citavi Bibliography Subheading 7 Zchn"/>
    <w:basedOn w:val="DefaultParagraphFont"/>
    <w:link w:val="CitaviBibliographySubheading7"/>
    <w:rsid w:val="001C059C"/>
    <w:rPr>
      <w:rFonts w:asciiTheme="majorHAnsi" w:eastAsiaTheme="majorEastAsia" w:hAnsiTheme="majorHAnsi" w:cs="Calibri"/>
      <w:color w:val="404040" w:themeColor="text1" w:themeTint="BF"/>
      <w:lang w:val="en-GB"/>
    </w:rPr>
  </w:style>
  <w:style w:type="character" w:customStyle="1" w:styleId="Heading8Char">
    <w:name w:val="Heading 8 Char"/>
    <w:basedOn w:val="DefaultParagraphFont"/>
    <w:link w:val="Heading81"/>
    <w:uiPriority w:val="9"/>
    <w:semiHidden/>
    <w:rsid w:val="001C059C"/>
    <w:rPr>
      <w:rFonts w:ascii="Calibri Light" w:eastAsia="Times New Roman" w:hAnsi="Calibri Light" w:cs="Times New Roman"/>
      <w:color w:val="404040"/>
      <w:sz w:val="20"/>
      <w:szCs w:val="20"/>
    </w:rPr>
  </w:style>
  <w:style w:type="paragraph" w:customStyle="1" w:styleId="CitaviBibliographySubheading8">
    <w:name w:val="Citavi Bibliography Subheading 8"/>
    <w:basedOn w:val="Heading9"/>
    <w:link w:val="CitaviBibliographySubheading8Zchn"/>
    <w:rsid w:val="001C059C"/>
    <w:pPr>
      <w:widowControl/>
      <w:spacing w:line="259" w:lineRule="auto"/>
      <w:jc w:val="left"/>
      <w:outlineLvl w:val="9"/>
    </w:pPr>
    <w:rPr>
      <w:rFonts w:cs="Calibri"/>
      <w:snapToGrid/>
      <w:lang w:val="en-GB" w:eastAsia="en-US"/>
    </w:rPr>
  </w:style>
  <w:style w:type="character" w:customStyle="1" w:styleId="CitaviBibliographySubheading8Zchn">
    <w:name w:val="Citavi Bibliography Subheading 8 Zchn"/>
    <w:basedOn w:val="DefaultParagraphFont"/>
    <w:link w:val="CitaviBibliographySubheading8"/>
    <w:rsid w:val="001C059C"/>
    <w:rPr>
      <w:rFonts w:asciiTheme="majorHAnsi" w:eastAsiaTheme="majorEastAsia" w:hAnsiTheme="majorHAnsi" w:cs="Calibri"/>
      <w:i/>
      <w:iCs/>
      <w:color w:val="404040" w:themeColor="text1" w:themeTint="BF"/>
      <w:lang w:val="en-GB"/>
    </w:rPr>
  </w:style>
  <w:style w:type="character" w:customStyle="1" w:styleId="Heading9Char">
    <w:name w:val="Heading 9 Char"/>
    <w:basedOn w:val="DefaultParagraphFont"/>
    <w:link w:val="Heading91"/>
    <w:uiPriority w:val="9"/>
    <w:semiHidden/>
    <w:rsid w:val="001C059C"/>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semiHidden/>
    <w:unhideWhenUsed/>
    <w:qFormat/>
    <w:rsid w:val="001C059C"/>
    <w:pPr>
      <w:keepLines/>
      <w:widowControl/>
      <w:spacing w:before="480" w:after="0" w:line="259" w:lineRule="auto"/>
      <w:jc w:val="left"/>
      <w:outlineLvl w:val="9"/>
    </w:pPr>
    <w:rPr>
      <w:rFonts w:ascii="Calibri Light" w:eastAsia="Times New Roman" w:hAnsi="Calibri Light" w:cs="Times New Roman"/>
      <w:caps w:val="0"/>
      <w:snapToGrid/>
      <w:color w:val="2F5496"/>
      <w:kern w:val="0"/>
      <w:sz w:val="28"/>
      <w:szCs w:val="28"/>
      <w:lang w:val="en-GB" w:eastAsia="en-US"/>
    </w:rPr>
  </w:style>
  <w:style w:type="character" w:styleId="BookTitle">
    <w:name w:val="Book Title"/>
    <w:basedOn w:val="DefaultParagraphFont"/>
    <w:uiPriority w:val="33"/>
    <w:qFormat/>
    <w:rsid w:val="001C059C"/>
    <w:rPr>
      <w:b/>
      <w:bCs/>
      <w:smallCaps/>
      <w:spacing w:val="5"/>
    </w:rPr>
  </w:style>
  <w:style w:type="character" w:customStyle="1" w:styleId="IntenseReference1">
    <w:name w:val="Intense Reference1"/>
    <w:basedOn w:val="DefaultParagraphFont"/>
    <w:uiPriority w:val="32"/>
    <w:qFormat/>
    <w:rsid w:val="001C059C"/>
    <w:rPr>
      <w:b/>
      <w:bCs/>
      <w:smallCaps/>
      <w:color w:val="ED7D31"/>
      <w:spacing w:val="5"/>
      <w:u w:val="single"/>
    </w:rPr>
  </w:style>
  <w:style w:type="character" w:customStyle="1" w:styleId="SubtleReference1">
    <w:name w:val="Subtle Reference1"/>
    <w:basedOn w:val="DefaultParagraphFont"/>
    <w:uiPriority w:val="31"/>
    <w:qFormat/>
    <w:rsid w:val="001C059C"/>
    <w:rPr>
      <w:smallCaps/>
      <w:color w:val="ED7D31"/>
      <w:u w:val="single"/>
    </w:rPr>
  </w:style>
  <w:style w:type="character" w:customStyle="1" w:styleId="IntenseEmphasis1">
    <w:name w:val="Intense Emphasis1"/>
    <w:basedOn w:val="DefaultParagraphFont"/>
    <w:uiPriority w:val="21"/>
    <w:qFormat/>
    <w:rsid w:val="001C059C"/>
    <w:rPr>
      <w:b/>
      <w:bCs/>
      <w:i/>
      <w:iCs/>
      <w:color w:val="4472C4"/>
    </w:rPr>
  </w:style>
  <w:style w:type="character" w:customStyle="1" w:styleId="SubtleEmphasis1">
    <w:name w:val="Subtle Emphasis1"/>
    <w:basedOn w:val="DefaultParagraphFont"/>
    <w:uiPriority w:val="19"/>
    <w:qFormat/>
    <w:rsid w:val="001C059C"/>
    <w:rPr>
      <w:i/>
      <w:iCs/>
      <w:color w:val="808080"/>
    </w:rPr>
  </w:style>
  <w:style w:type="paragraph" w:customStyle="1" w:styleId="IntenseQuote1">
    <w:name w:val="Intense Quote1"/>
    <w:basedOn w:val="Normal"/>
    <w:next w:val="Normal"/>
    <w:uiPriority w:val="30"/>
    <w:qFormat/>
    <w:rsid w:val="001C059C"/>
    <w:pPr>
      <w:widowControl/>
      <w:pBdr>
        <w:bottom w:val="single" w:sz="4" w:space="4" w:color="4472C4"/>
      </w:pBdr>
      <w:spacing w:before="200" w:after="280" w:line="259" w:lineRule="auto"/>
      <w:ind w:left="936" w:right="936"/>
      <w:jc w:val="left"/>
    </w:pPr>
    <w:rPr>
      <w:rFonts w:ascii="Gulliver-Regular" w:eastAsia="Calibri" w:hAnsi="Gulliver-Regular"/>
      <w:b/>
      <w:bCs/>
      <w:i/>
      <w:iCs/>
      <w:snapToGrid/>
      <w:color w:val="4472C4"/>
      <w:sz w:val="20"/>
      <w:szCs w:val="22"/>
      <w:lang w:val="en-GB" w:eastAsia="en-US"/>
    </w:rPr>
  </w:style>
  <w:style w:type="character" w:customStyle="1" w:styleId="IntenseQuoteChar">
    <w:name w:val="Intense Quote Char"/>
    <w:basedOn w:val="DefaultParagraphFont"/>
    <w:link w:val="IntenseQuote"/>
    <w:uiPriority w:val="30"/>
    <w:rsid w:val="001C059C"/>
    <w:rPr>
      <w:b/>
      <w:bCs/>
      <w:i/>
      <w:iCs/>
      <w:color w:val="4472C4"/>
    </w:rPr>
  </w:style>
  <w:style w:type="paragraph" w:customStyle="1" w:styleId="Quote1">
    <w:name w:val="Quote1"/>
    <w:basedOn w:val="Normal"/>
    <w:next w:val="Normal"/>
    <w:uiPriority w:val="29"/>
    <w:qFormat/>
    <w:rsid w:val="001C059C"/>
    <w:pPr>
      <w:widowControl/>
      <w:spacing w:after="160" w:line="259" w:lineRule="auto"/>
      <w:jc w:val="left"/>
    </w:pPr>
    <w:rPr>
      <w:rFonts w:ascii="Gulliver-Regular" w:eastAsia="Calibri" w:hAnsi="Gulliver-Regular"/>
      <w:i/>
      <w:iCs/>
      <w:snapToGrid/>
      <w:color w:val="000000"/>
      <w:sz w:val="20"/>
      <w:szCs w:val="22"/>
      <w:lang w:val="en-GB" w:eastAsia="en-US"/>
    </w:rPr>
  </w:style>
  <w:style w:type="character" w:customStyle="1" w:styleId="QuoteChar">
    <w:name w:val="Quote Char"/>
    <w:basedOn w:val="DefaultParagraphFont"/>
    <w:link w:val="Quote"/>
    <w:uiPriority w:val="29"/>
    <w:rsid w:val="001C059C"/>
    <w:rPr>
      <w:i/>
      <w:iCs/>
      <w:color w:val="000000"/>
    </w:rPr>
  </w:style>
  <w:style w:type="table" w:customStyle="1" w:styleId="MediumList1-Accent11">
    <w:name w:val="Medium List 1 - Accen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Shading2-Accent11">
    <w:name w:val="Medium Shading 2 - Accent 1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1C059C"/>
    <w:rPr>
      <w:rFonts w:ascii="Calibri" w:eastAsia="Calibri" w:hAnsi="Calibri"/>
      <w:sz w:val="22"/>
      <w:szCs w:val="22"/>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List-Accent11">
    <w:name w:val="Light List - Accent 11"/>
    <w:basedOn w:val="TableNormal"/>
    <w:uiPriority w:val="61"/>
    <w:rsid w:val="001C059C"/>
    <w:rPr>
      <w:rFonts w:ascii="Calibri" w:eastAsia="Calibri" w:hAnsi="Calibri"/>
      <w:sz w:val="22"/>
      <w:szCs w:val="22"/>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11">
    <w:name w:val="Light Shading - Accent 11"/>
    <w:basedOn w:val="TableNormal"/>
    <w:uiPriority w:val="60"/>
    <w:rsid w:val="001C059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ColorfulGrid1">
    <w:name w:val="Colorful Grid1"/>
    <w:basedOn w:val="TableNormal"/>
    <w:uiPriority w:val="73"/>
    <w:rsid w:val="001C059C"/>
    <w:rPr>
      <w:rFonts w:ascii="Calibri" w:eastAsia="Calibri" w:hAnsi="Calibri"/>
      <w:color w:val="000000"/>
      <w:sz w:val="22"/>
      <w:szCs w:val="22"/>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uiPriority w:val="72"/>
    <w:rsid w:val="001C059C"/>
    <w:rPr>
      <w:rFonts w:ascii="Calibri" w:eastAsia="Calibri" w:hAnsi="Calibri"/>
      <w:color w:val="000000"/>
      <w:sz w:val="22"/>
      <w:szCs w:val="22"/>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Shading1">
    <w:name w:val="Colorful Shading1"/>
    <w:basedOn w:val="TableNormal"/>
    <w:uiPriority w:val="71"/>
    <w:rsid w:val="001C059C"/>
    <w:rPr>
      <w:rFonts w:ascii="Calibri" w:eastAsia="Calibri" w:hAnsi="Calibri"/>
      <w:color w:val="000000"/>
      <w:sz w:val="22"/>
      <w:szCs w:val="22"/>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1C059C"/>
    <w:rPr>
      <w:rFonts w:ascii="Calibri" w:eastAsia="Calibri" w:hAnsi="Calibri"/>
      <w:color w:val="FFFFFF"/>
      <w:sz w:val="22"/>
      <w:szCs w:val="22"/>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MediumGrid31">
    <w:name w:val="Medium Grid 31"/>
    <w:basedOn w:val="TableNormal"/>
    <w:uiPriority w:val="69"/>
    <w:rsid w:val="001C059C"/>
    <w:rPr>
      <w:rFonts w:ascii="Calibri" w:eastAsia="Calibri" w:hAnsi="Calibri"/>
      <w:sz w:val="22"/>
      <w:szCs w:val="22"/>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21">
    <w:name w:val="Medium Grid 21"/>
    <w:basedOn w:val="TableNormal"/>
    <w:uiPriority w:val="68"/>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11">
    <w:name w:val="Medium Grid 11"/>
    <w:basedOn w:val="TableNormal"/>
    <w:uiPriority w:val="67"/>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List21">
    <w:name w:val="Medium List 21"/>
    <w:basedOn w:val="TableNormal"/>
    <w:uiPriority w:val="66"/>
    <w:rsid w:val="001C059C"/>
    <w:rPr>
      <w:rFonts w:ascii="Calibri Light" w:eastAsia="Times New Roman" w:hAnsi="Calibri Light"/>
      <w:color w:val="000000"/>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11">
    <w:name w:val="Medium List 11"/>
    <w:basedOn w:val="TableNormal"/>
    <w:uiPriority w:val="65"/>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Shading21">
    <w:name w:val="Medium Shading 21"/>
    <w:basedOn w:val="TableNormal"/>
    <w:uiPriority w:val="64"/>
    <w:rsid w:val="001C059C"/>
    <w:rPr>
      <w:rFonts w:ascii="Calibri" w:eastAsia="Calibri" w:hAnsi="Calibri"/>
      <w:sz w:val="22"/>
      <w:szCs w:val="22"/>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1C059C"/>
    <w:rPr>
      <w:rFonts w:ascii="Calibri" w:eastAsia="Calibri" w:hAnsi="Calibri"/>
      <w:sz w:val="22"/>
      <w:szCs w:val="22"/>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
    <w:name w:val="Light List1"/>
    <w:basedOn w:val="TableNormal"/>
    <w:uiPriority w:val="61"/>
    <w:rsid w:val="001C059C"/>
    <w:rPr>
      <w:rFonts w:ascii="Calibri" w:eastAsia="Calibri" w:hAnsi="Calibri"/>
      <w:sz w:val="22"/>
      <w:szCs w:val="22"/>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4">
    <w:name w:val="Light Shading4"/>
    <w:basedOn w:val="TableNormal"/>
    <w:uiPriority w:val="60"/>
    <w:rsid w:val="001C059C"/>
    <w:rPr>
      <w:rFonts w:ascii="Calibri" w:eastAsia="Calibri" w:hAnsi="Calibri"/>
      <w:color w:val="000000"/>
      <w:sz w:val="22"/>
      <w:szCs w:val="22"/>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Variable">
    <w:name w:val="HTML Variable"/>
    <w:basedOn w:val="DefaultParagraphFont"/>
    <w:uiPriority w:val="99"/>
    <w:semiHidden/>
    <w:unhideWhenUsed/>
    <w:rsid w:val="001C059C"/>
    <w:rPr>
      <w:i/>
      <w:iCs/>
    </w:rPr>
  </w:style>
  <w:style w:type="character" w:styleId="HTMLTypewriter">
    <w:name w:val="HTML Typewriter"/>
    <w:basedOn w:val="DefaultParagraphFont"/>
    <w:uiPriority w:val="99"/>
    <w:semiHidden/>
    <w:unhideWhenUsed/>
    <w:rsid w:val="001C059C"/>
    <w:rPr>
      <w:rFonts w:ascii="Consolas" w:hAnsi="Consolas"/>
      <w:sz w:val="20"/>
      <w:szCs w:val="20"/>
    </w:rPr>
  </w:style>
  <w:style w:type="character" w:styleId="HTMLSample">
    <w:name w:val="HTML Sample"/>
    <w:basedOn w:val="DefaultParagraphFont"/>
    <w:uiPriority w:val="99"/>
    <w:semiHidden/>
    <w:unhideWhenUsed/>
    <w:rsid w:val="001C059C"/>
    <w:rPr>
      <w:rFonts w:ascii="Consolas" w:hAnsi="Consolas"/>
      <w:sz w:val="24"/>
      <w:szCs w:val="24"/>
    </w:rPr>
  </w:style>
  <w:style w:type="character" w:styleId="HTMLKeyboard">
    <w:name w:val="HTML Keyboard"/>
    <w:basedOn w:val="DefaultParagraphFont"/>
    <w:uiPriority w:val="99"/>
    <w:semiHidden/>
    <w:unhideWhenUsed/>
    <w:rsid w:val="001C059C"/>
    <w:rPr>
      <w:rFonts w:ascii="Consolas" w:hAnsi="Consolas"/>
      <w:sz w:val="20"/>
      <w:szCs w:val="20"/>
    </w:rPr>
  </w:style>
  <w:style w:type="character" w:styleId="HTMLDefinition">
    <w:name w:val="HTML Definition"/>
    <w:basedOn w:val="DefaultParagraphFont"/>
    <w:uiPriority w:val="99"/>
    <w:semiHidden/>
    <w:unhideWhenUsed/>
    <w:rsid w:val="001C059C"/>
    <w:rPr>
      <w:i/>
      <w:iCs/>
    </w:rPr>
  </w:style>
  <w:style w:type="character" w:styleId="HTMLCode">
    <w:name w:val="HTML Code"/>
    <w:basedOn w:val="DefaultParagraphFont"/>
    <w:uiPriority w:val="99"/>
    <w:semiHidden/>
    <w:unhideWhenUsed/>
    <w:rsid w:val="001C059C"/>
    <w:rPr>
      <w:rFonts w:ascii="Consolas" w:hAnsi="Consolas"/>
      <w:sz w:val="20"/>
      <w:szCs w:val="20"/>
    </w:rPr>
  </w:style>
  <w:style w:type="paragraph" w:styleId="HTMLAddress">
    <w:name w:val="HTML Address"/>
    <w:basedOn w:val="Normal"/>
    <w:link w:val="HTMLAddressChar"/>
    <w:uiPriority w:val="99"/>
    <w:semiHidden/>
    <w:unhideWhenUsed/>
    <w:rsid w:val="001C059C"/>
    <w:pPr>
      <w:widowControl/>
      <w:spacing w:after="0"/>
      <w:jc w:val="left"/>
    </w:pPr>
    <w:rPr>
      <w:rFonts w:ascii="Gulliver-Regular" w:eastAsia="Calibri" w:hAnsi="Gulliver-Regular"/>
      <w:i/>
      <w:iCs/>
      <w:snapToGrid/>
      <w:sz w:val="20"/>
      <w:szCs w:val="22"/>
      <w:lang w:val="en-GB" w:eastAsia="en-US"/>
    </w:rPr>
  </w:style>
  <w:style w:type="character" w:customStyle="1" w:styleId="HTMLAddressChar">
    <w:name w:val="HTML Address Char"/>
    <w:basedOn w:val="DefaultParagraphFont"/>
    <w:link w:val="HTMLAddress"/>
    <w:uiPriority w:val="99"/>
    <w:semiHidden/>
    <w:rsid w:val="001C059C"/>
    <w:rPr>
      <w:rFonts w:ascii="Gulliver-Regular" w:eastAsia="Calibri" w:hAnsi="Gulliver-Regular"/>
      <w:i/>
      <w:iCs/>
      <w:szCs w:val="22"/>
      <w:lang w:val="en-GB"/>
    </w:rPr>
  </w:style>
  <w:style w:type="character" w:styleId="HTMLAcronym">
    <w:name w:val="HTML Acronym"/>
    <w:basedOn w:val="DefaultParagraphFont"/>
    <w:uiPriority w:val="99"/>
    <w:semiHidden/>
    <w:unhideWhenUsed/>
    <w:rsid w:val="001C059C"/>
  </w:style>
  <w:style w:type="paragraph" w:styleId="PlainText">
    <w:name w:val="Plain Text"/>
    <w:basedOn w:val="Normal"/>
    <w:link w:val="PlainTextChar"/>
    <w:uiPriority w:val="99"/>
    <w:semiHidden/>
    <w:unhideWhenUsed/>
    <w:rsid w:val="001C059C"/>
    <w:pPr>
      <w:widowControl/>
      <w:spacing w:after="0"/>
      <w:jc w:val="left"/>
    </w:pPr>
    <w:rPr>
      <w:rFonts w:ascii="Consolas" w:eastAsia="Calibri" w:hAnsi="Consolas"/>
      <w:snapToGrid/>
      <w:sz w:val="21"/>
      <w:szCs w:val="21"/>
      <w:lang w:val="en-GB" w:eastAsia="en-US"/>
    </w:rPr>
  </w:style>
  <w:style w:type="character" w:customStyle="1" w:styleId="PlainTextChar">
    <w:name w:val="Plain Text Char"/>
    <w:basedOn w:val="DefaultParagraphFont"/>
    <w:link w:val="PlainText"/>
    <w:uiPriority w:val="99"/>
    <w:semiHidden/>
    <w:rsid w:val="001C059C"/>
    <w:rPr>
      <w:rFonts w:ascii="Consolas" w:eastAsia="Calibri" w:hAnsi="Consolas"/>
      <w:sz w:val="21"/>
      <w:szCs w:val="21"/>
      <w:lang w:val="en-GB"/>
    </w:rPr>
  </w:style>
  <w:style w:type="paragraph" w:styleId="DocumentMap">
    <w:name w:val="Document Map"/>
    <w:basedOn w:val="Normal"/>
    <w:link w:val="DocumentMapChar"/>
    <w:uiPriority w:val="99"/>
    <w:semiHidden/>
    <w:unhideWhenUsed/>
    <w:rsid w:val="001C059C"/>
    <w:pPr>
      <w:widowControl/>
      <w:spacing w:after="0"/>
      <w:jc w:val="left"/>
    </w:pPr>
    <w:rPr>
      <w:rFonts w:ascii="Tahoma" w:eastAsia="Calibri" w:hAnsi="Tahoma" w:cs="Tahoma"/>
      <w:snapToGrid/>
      <w:sz w:val="16"/>
      <w:szCs w:val="16"/>
      <w:lang w:val="en-GB" w:eastAsia="en-US"/>
    </w:rPr>
  </w:style>
  <w:style w:type="character" w:customStyle="1" w:styleId="DocumentMapChar">
    <w:name w:val="Document Map Char"/>
    <w:basedOn w:val="DefaultParagraphFont"/>
    <w:link w:val="DocumentMap"/>
    <w:uiPriority w:val="99"/>
    <w:semiHidden/>
    <w:rsid w:val="001C059C"/>
    <w:rPr>
      <w:rFonts w:ascii="Tahoma" w:eastAsia="Calibri" w:hAnsi="Tahoma" w:cs="Tahoma"/>
      <w:sz w:val="16"/>
      <w:szCs w:val="16"/>
      <w:lang w:val="en-GB"/>
    </w:rPr>
  </w:style>
  <w:style w:type="paragraph" w:customStyle="1" w:styleId="BlockText1">
    <w:name w:val="Block Text1"/>
    <w:basedOn w:val="Normal"/>
    <w:next w:val="BlockText"/>
    <w:uiPriority w:val="99"/>
    <w:semiHidden/>
    <w:unhideWhenUsed/>
    <w:rsid w:val="001C059C"/>
    <w:pPr>
      <w:widowControl/>
      <w:pBdr>
        <w:top w:val="single" w:sz="2" w:space="10" w:color="4472C4" w:frame="1"/>
        <w:left w:val="single" w:sz="2" w:space="10" w:color="4472C4" w:frame="1"/>
        <w:bottom w:val="single" w:sz="2" w:space="10" w:color="4472C4" w:frame="1"/>
        <w:right w:val="single" w:sz="2" w:space="10" w:color="4472C4" w:frame="1"/>
      </w:pBdr>
      <w:spacing w:after="160" w:line="259" w:lineRule="auto"/>
      <w:ind w:left="1152" w:right="1152"/>
      <w:jc w:val="left"/>
    </w:pPr>
    <w:rPr>
      <w:rFonts w:ascii="Gulliver-Regular" w:eastAsia="Times New Roman" w:hAnsi="Gulliver-Regular"/>
      <w:i/>
      <w:iCs/>
      <w:snapToGrid/>
      <w:color w:val="4472C4"/>
      <w:sz w:val="20"/>
      <w:szCs w:val="22"/>
      <w:lang w:val="en-GB" w:eastAsia="en-US"/>
    </w:rPr>
  </w:style>
  <w:style w:type="paragraph" w:styleId="BodyTextIndent3">
    <w:name w:val="Body Text Indent 3"/>
    <w:basedOn w:val="Normal"/>
    <w:link w:val="BodyTextIndent3Char"/>
    <w:uiPriority w:val="99"/>
    <w:semiHidden/>
    <w:unhideWhenUsed/>
    <w:rsid w:val="001C059C"/>
    <w:pPr>
      <w:widowControl/>
      <w:spacing w:after="120" w:line="259" w:lineRule="auto"/>
      <w:ind w:left="283"/>
      <w:jc w:val="left"/>
    </w:pPr>
    <w:rPr>
      <w:rFonts w:ascii="Gulliver-Regular" w:eastAsia="Calibri" w:hAnsi="Gulliver-Regular"/>
      <w:snapToGrid/>
      <w:sz w:val="16"/>
      <w:szCs w:val="16"/>
      <w:lang w:val="en-GB" w:eastAsia="en-US"/>
    </w:rPr>
  </w:style>
  <w:style w:type="character" w:customStyle="1" w:styleId="BodyTextIndent3Char">
    <w:name w:val="Body Text Indent 3 Char"/>
    <w:basedOn w:val="DefaultParagraphFont"/>
    <w:link w:val="BodyTextIndent3"/>
    <w:uiPriority w:val="99"/>
    <w:semiHidden/>
    <w:rsid w:val="001C059C"/>
    <w:rPr>
      <w:rFonts w:ascii="Gulliver-Regular" w:eastAsia="Calibri" w:hAnsi="Gulliver-Regular"/>
      <w:sz w:val="16"/>
      <w:szCs w:val="16"/>
      <w:lang w:val="en-GB"/>
    </w:rPr>
  </w:style>
  <w:style w:type="paragraph" w:styleId="BodyText2">
    <w:name w:val="Body Text 2"/>
    <w:basedOn w:val="Normal"/>
    <w:link w:val="BodyText2Char"/>
    <w:uiPriority w:val="99"/>
    <w:semiHidden/>
    <w:unhideWhenUsed/>
    <w:rsid w:val="001C059C"/>
    <w:pPr>
      <w:widowControl/>
      <w:spacing w:after="120" w:line="480" w:lineRule="auto"/>
      <w:jc w:val="left"/>
    </w:pPr>
    <w:rPr>
      <w:rFonts w:ascii="Gulliver-Regular" w:eastAsia="Calibri" w:hAnsi="Gulliver-Regular"/>
      <w:snapToGrid/>
      <w:sz w:val="20"/>
      <w:szCs w:val="22"/>
      <w:lang w:val="en-GB" w:eastAsia="en-US"/>
    </w:rPr>
  </w:style>
  <w:style w:type="character" w:customStyle="1" w:styleId="BodyText2Char">
    <w:name w:val="Body Text 2 Char"/>
    <w:basedOn w:val="DefaultParagraphFont"/>
    <w:link w:val="BodyText2"/>
    <w:uiPriority w:val="99"/>
    <w:semiHidden/>
    <w:rsid w:val="001C059C"/>
    <w:rPr>
      <w:rFonts w:ascii="Gulliver-Regular" w:eastAsia="Calibri" w:hAnsi="Gulliver-Regular"/>
      <w:szCs w:val="22"/>
      <w:lang w:val="en-GB"/>
    </w:rPr>
  </w:style>
  <w:style w:type="paragraph" w:styleId="NoteHeading">
    <w:name w:val="Note Heading"/>
    <w:basedOn w:val="Normal"/>
    <w:next w:val="Normal"/>
    <w:link w:val="NoteHeadingChar"/>
    <w:uiPriority w:val="99"/>
    <w:semiHidden/>
    <w:unhideWhenUsed/>
    <w:rsid w:val="001C059C"/>
    <w:pPr>
      <w:widowControl/>
      <w:spacing w:after="0"/>
      <w:jc w:val="left"/>
    </w:pPr>
    <w:rPr>
      <w:rFonts w:ascii="Gulliver-Regular" w:eastAsia="Calibri" w:hAnsi="Gulliver-Regular"/>
      <w:snapToGrid/>
      <w:sz w:val="20"/>
      <w:szCs w:val="22"/>
      <w:lang w:val="en-GB" w:eastAsia="en-US"/>
    </w:rPr>
  </w:style>
  <w:style w:type="character" w:customStyle="1" w:styleId="NoteHeadingChar">
    <w:name w:val="Note Heading Char"/>
    <w:basedOn w:val="DefaultParagraphFont"/>
    <w:link w:val="NoteHeading"/>
    <w:uiPriority w:val="99"/>
    <w:semiHidden/>
    <w:rsid w:val="001C059C"/>
    <w:rPr>
      <w:rFonts w:ascii="Gulliver-Regular" w:eastAsia="Calibri" w:hAnsi="Gulliver-Regular"/>
      <w:szCs w:val="22"/>
      <w:lang w:val="en-GB"/>
    </w:rPr>
  </w:style>
  <w:style w:type="paragraph" w:styleId="BodyTextFirstIndent2">
    <w:name w:val="Body Text First Indent 2"/>
    <w:basedOn w:val="BodyTextIndent"/>
    <w:link w:val="BodyTextFirstIndent2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2Char">
    <w:name w:val="Body Text First Indent 2 Char"/>
    <w:basedOn w:val="BodyTextIndentChar"/>
    <w:link w:val="BodyTextFirstIndent2"/>
    <w:uiPriority w:val="99"/>
    <w:semiHidden/>
    <w:rsid w:val="001C059C"/>
    <w:rPr>
      <w:rFonts w:ascii="Gulliver-Regular" w:eastAsia="Calibri" w:hAnsi="Gulliver-Regular"/>
      <w:snapToGrid w:val="0"/>
      <w:sz w:val="22"/>
      <w:szCs w:val="22"/>
      <w:lang w:val="en-GB" w:eastAsia="es-ES"/>
    </w:rPr>
  </w:style>
  <w:style w:type="paragraph" w:styleId="BodyTextFirstIndent">
    <w:name w:val="Body Text First Indent"/>
    <w:basedOn w:val="BodyText"/>
    <w:link w:val="BodyTextFirstIndentChar"/>
    <w:uiPriority w:val="99"/>
    <w:semiHidden/>
    <w:unhideWhenUsed/>
    <w:rsid w:val="001C059C"/>
    <w:pPr>
      <w:widowControl/>
      <w:spacing w:after="160" w:line="259" w:lineRule="auto"/>
      <w:ind w:firstLine="360"/>
      <w:jc w:val="left"/>
    </w:pPr>
    <w:rPr>
      <w:rFonts w:ascii="Gulliver-Regular" w:eastAsia="Calibri" w:hAnsi="Gulliver-Regular"/>
      <w:snapToGrid/>
      <w:sz w:val="20"/>
      <w:szCs w:val="22"/>
      <w:lang w:val="en-GB" w:eastAsia="en-US"/>
    </w:rPr>
  </w:style>
  <w:style w:type="character" w:customStyle="1" w:styleId="BodyTextFirstIndentChar">
    <w:name w:val="Body Text First Indent Char"/>
    <w:basedOn w:val="BodyTextChar"/>
    <w:link w:val="BodyTextFirstIndent"/>
    <w:uiPriority w:val="99"/>
    <w:semiHidden/>
    <w:rsid w:val="001C059C"/>
    <w:rPr>
      <w:rFonts w:ascii="Gulliver-Regular" w:eastAsia="Calibri" w:hAnsi="Gulliver-Regular"/>
      <w:snapToGrid w:val="0"/>
      <w:sz w:val="22"/>
      <w:szCs w:val="22"/>
      <w:lang w:val="en-GB" w:eastAsia="es-ES"/>
    </w:rPr>
  </w:style>
  <w:style w:type="paragraph" w:styleId="Date">
    <w:name w:val="Date"/>
    <w:basedOn w:val="Normal"/>
    <w:next w:val="Normal"/>
    <w:link w:val="Date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DateChar">
    <w:name w:val="Date Char"/>
    <w:basedOn w:val="DefaultParagraphFont"/>
    <w:link w:val="Date"/>
    <w:uiPriority w:val="99"/>
    <w:semiHidden/>
    <w:rsid w:val="001C059C"/>
    <w:rPr>
      <w:rFonts w:ascii="Gulliver-Regular" w:eastAsia="Calibri" w:hAnsi="Gulliver-Regular"/>
      <w:szCs w:val="22"/>
      <w:lang w:val="en-GB"/>
    </w:rPr>
  </w:style>
  <w:style w:type="paragraph" w:styleId="Salutation">
    <w:name w:val="Salutation"/>
    <w:basedOn w:val="Normal"/>
    <w:next w:val="Normal"/>
    <w:link w:val="SalutationChar"/>
    <w:uiPriority w:val="99"/>
    <w:semiHidden/>
    <w:unhideWhenUsed/>
    <w:rsid w:val="001C059C"/>
    <w:pPr>
      <w:widowControl/>
      <w:spacing w:after="160" w:line="259" w:lineRule="auto"/>
      <w:jc w:val="left"/>
    </w:pPr>
    <w:rPr>
      <w:rFonts w:ascii="Gulliver-Regular" w:eastAsia="Calibri" w:hAnsi="Gulliver-Regular"/>
      <w:snapToGrid/>
      <w:sz w:val="20"/>
      <w:szCs w:val="22"/>
      <w:lang w:val="en-GB" w:eastAsia="en-US"/>
    </w:rPr>
  </w:style>
  <w:style w:type="character" w:customStyle="1" w:styleId="SalutationChar">
    <w:name w:val="Salutation Char"/>
    <w:basedOn w:val="DefaultParagraphFont"/>
    <w:link w:val="Salutation"/>
    <w:uiPriority w:val="99"/>
    <w:semiHidden/>
    <w:rsid w:val="001C059C"/>
    <w:rPr>
      <w:rFonts w:ascii="Gulliver-Regular" w:eastAsia="Calibri" w:hAnsi="Gulliver-Regular"/>
      <w:szCs w:val="22"/>
      <w:lang w:val="en-GB"/>
    </w:rPr>
  </w:style>
  <w:style w:type="paragraph" w:customStyle="1" w:styleId="Subtitle1">
    <w:name w:val="Subtitle1"/>
    <w:basedOn w:val="Normal"/>
    <w:next w:val="Normal"/>
    <w:uiPriority w:val="11"/>
    <w:qFormat/>
    <w:rsid w:val="001C059C"/>
    <w:pPr>
      <w:widowControl/>
      <w:numPr>
        <w:ilvl w:val="1"/>
      </w:numPr>
      <w:spacing w:after="160" w:line="259" w:lineRule="auto"/>
      <w:jc w:val="left"/>
    </w:pPr>
    <w:rPr>
      <w:rFonts w:ascii="Calibri Light" w:eastAsia="Times New Roman" w:hAnsi="Calibri Light"/>
      <w:i/>
      <w:iCs/>
      <w:snapToGrid/>
      <w:color w:val="4472C4"/>
      <w:spacing w:val="15"/>
      <w:sz w:val="24"/>
      <w:szCs w:val="24"/>
      <w:lang w:val="en-GB" w:eastAsia="en-US"/>
    </w:rPr>
  </w:style>
  <w:style w:type="character" w:customStyle="1" w:styleId="SubtitleChar">
    <w:name w:val="Subtitle Char"/>
    <w:basedOn w:val="DefaultParagraphFont"/>
    <w:link w:val="Subtitle"/>
    <w:uiPriority w:val="11"/>
    <w:rsid w:val="001C059C"/>
    <w:rPr>
      <w:rFonts w:ascii="Calibri Light" w:eastAsia="Times New Roman" w:hAnsi="Calibri Light" w:cs="Times New Roman"/>
      <w:i/>
      <w:iCs/>
      <w:color w:val="4472C4"/>
      <w:spacing w:val="15"/>
      <w:sz w:val="24"/>
      <w:szCs w:val="24"/>
    </w:rPr>
  </w:style>
  <w:style w:type="paragraph" w:customStyle="1" w:styleId="MessageHeader1">
    <w:name w:val="Message Header1"/>
    <w:basedOn w:val="Normal"/>
    <w:next w:val="MessageHeader"/>
    <w:link w:val="MessageHeaderChar"/>
    <w:uiPriority w:val="99"/>
    <w:semiHidden/>
    <w:unhideWhenUsed/>
    <w:rsid w:val="001C059C"/>
    <w:pPr>
      <w:widowControl/>
      <w:pBdr>
        <w:top w:val="single" w:sz="6" w:space="1" w:color="auto"/>
        <w:left w:val="single" w:sz="6" w:space="1" w:color="auto"/>
        <w:bottom w:val="single" w:sz="6" w:space="1" w:color="auto"/>
        <w:right w:val="single" w:sz="6" w:space="1" w:color="auto"/>
      </w:pBdr>
      <w:shd w:val="pct20" w:color="auto" w:fill="auto"/>
      <w:spacing w:after="0"/>
      <w:ind w:left="1134" w:hanging="1134"/>
      <w:jc w:val="left"/>
    </w:pPr>
    <w:rPr>
      <w:rFonts w:ascii="Calibri Light" w:eastAsia="Times New Roman" w:hAnsi="Calibri Light"/>
      <w:snapToGrid/>
      <w:sz w:val="24"/>
      <w:szCs w:val="24"/>
      <w:lang w:eastAsia="en-US"/>
    </w:rPr>
  </w:style>
  <w:style w:type="character" w:customStyle="1" w:styleId="MessageHeaderChar">
    <w:name w:val="Message Header Char"/>
    <w:basedOn w:val="DefaultParagraphFont"/>
    <w:link w:val="MessageHeader1"/>
    <w:uiPriority w:val="99"/>
    <w:semiHidden/>
    <w:rsid w:val="001C059C"/>
    <w:rPr>
      <w:rFonts w:ascii="Calibri Light" w:eastAsia="Times New Roman" w:hAnsi="Calibri Light" w:cs="Times New Roman"/>
      <w:sz w:val="24"/>
      <w:szCs w:val="24"/>
      <w:shd w:val="pct20" w:color="auto" w:fill="auto"/>
    </w:rPr>
  </w:style>
  <w:style w:type="paragraph" w:styleId="ListContinue5">
    <w:name w:val="List Continue 5"/>
    <w:basedOn w:val="Normal"/>
    <w:uiPriority w:val="99"/>
    <w:semiHidden/>
    <w:unhideWhenUsed/>
    <w:rsid w:val="001C059C"/>
    <w:pPr>
      <w:widowControl/>
      <w:spacing w:after="120" w:line="259" w:lineRule="auto"/>
      <w:ind w:left="1415"/>
      <w:contextualSpacing/>
      <w:jc w:val="left"/>
    </w:pPr>
    <w:rPr>
      <w:rFonts w:ascii="Gulliver-Regular" w:eastAsia="Calibri" w:hAnsi="Gulliver-Regular"/>
      <w:snapToGrid/>
      <w:sz w:val="20"/>
      <w:szCs w:val="22"/>
      <w:lang w:val="en-GB" w:eastAsia="en-US"/>
    </w:rPr>
  </w:style>
  <w:style w:type="paragraph" w:styleId="ListContinue4">
    <w:name w:val="List Continue 4"/>
    <w:basedOn w:val="Normal"/>
    <w:uiPriority w:val="99"/>
    <w:semiHidden/>
    <w:unhideWhenUsed/>
    <w:rsid w:val="001C059C"/>
    <w:pPr>
      <w:widowControl/>
      <w:spacing w:after="120" w:line="259" w:lineRule="auto"/>
      <w:ind w:left="1132"/>
      <w:contextualSpacing/>
      <w:jc w:val="left"/>
    </w:pPr>
    <w:rPr>
      <w:rFonts w:ascii="Gulliver-Regular" w:eastAsia="Calibri" w:hAnsi="Gulliver-Regular"/>
      <w:snapToGrid/>
      <w:sz w:val="20"/>
      <w:szCs w:val="22"/>
      <w:lang w:val="en-GB" w:eastAsia="en-US"/>
    </w:rPr>
  </w:style>
  <w:style w:type="paragraph" w:styleId="ListContinue3">
    <w:name w:val="List Continue 3"/>
    <w:basedOn w:val="Normal"/>
    <w:uiPriority w:val="99"/>
    <w:semiHidden/>
    <w:unhideWhenUsed/>
    <w:rsid w:val="001C059C"/>
    <w:pPr>
      <w:widowControl/>
      <w:spacing w:after="120" w:line="259" w:lineRule="auto"/>
      <w:ind w:left="849"/>
      <w:contextualSpacing/>
      <w:jc w:val="left"/>
    </w:pPr>
    <w:rPr>
      <w:rFonts w:ascii="Gulliver-Regular" w:eastAsia="Calibri" w:hAnsi="Gulliver-Regular"/>
      <w:snapToGrid/>
      <w:sz w:val="20"/>
      <w:szCs w:val="22"/>
      <w:lang w:val="en-GB" w:eastAsia="en-US"/>
    </w:rPr>
  </w:style>
  <w:style w:type="paragraph" w:styleId="ListContinue2">
    <w:name w:val="List Continue 2"/>
    <w:basedOn w:val="Normal"/>
    <w:uiPriority w:val="99"/>
    <w:semiHidden/>
    <w:unhideWhenUsed/>
    <w:rsid w:val="001C059C"/>
    <w:pPr>
      <w:widowControl/>
      <w:spacing w:after="120" w:line="259" w:lineRule="auto"/>
      <w:ind w:left="566"/>
      <w:contextualSpacing/>
      <w:jc w:val="left"/>
    </w:pPr>
    <w:rPr>
      <w:rFonts w:ascii="Gulliver-Regular" w:eastAsia="Calibri" w:hAnsi="Gulliver-Regular"/>
      <w:snapToGrid/>
      <w:sz w:val="20"/>
      <w:szCs w:val="22"/>
      <w:lang w:val="en-GB" w:eastAsia="en-US"/>
    </w:rPr>
  </w:style>
  <w:style w:type="paragraph" w:styleId="ListContinue">
    <w:name w:val="List Continue"/>
    <w:basedOn w:val="Normal"/>
    <w:uiPriority w:val="99"/>
    <w:semiHidden/>
    <w:unhideWhenUsed/>
    <w:rsid w:val="001C059C"/>
    <w:pPr>
      <w:widowControl/>
      <w:spacing w:after="120" w:line="259" w:lineRule="auto"/>
      <w:ind w:left="283"/>
      <w:contextualSpacing/>
      <w:jc w:val="left"/>
    </w:pPr>
    <w:rPr>
      <w:rFonts w:ascii="Gulliver-Regular" w:eastAsia="Calibri" w:hAnsi="Gulliver-Regular"/>
      <w:snapToGrid/>
      <w:sz w:val="20"/>
      <w:szCs w:val="22"/>
      <w:lang w:val="en-GB" w:eastAsia="en-US"/>
    </w:rPr>
  </w:style>
  <w:style w:type="paragraph" w:styleId="Signature">
    <w:name w:val="Signature"/>
    <w:basedOn w:val="Normal"/>
    <w:link w:val="Signature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SignatureChar">
    <w:name w:val="Signature Char"/>
    <w:basedOn w:val="DefaultParagraphFont"/>
    <w:link w:val="Signature"/>
    <w:uiPriority w:val="99"/>
    <w:semiHidden/>
    <w:rsid w:val="001C059C"/>
    <w:rPr>
      <w:rFonts w:ascii="Gulliver-Regular" w:eastAsia="Calibri" w:hAnsi="Gulliver-Regular"/>
      <w:szCs w:val="22"/>
      <w:lang w:val="en-GB"/>
    </w:rPr>
  </w:style>
  <w:style w:type="paragraph" w:styleId="Closing">
    <w:name w:val="Closing"/>
    <w:basedOn w:val="Normal"/>
    <w:link w:val="ClosingChar"/>
    <w:uiPriority w:val="99"/>
    <w:semiHidden/>
    <w:unhideWhenUsed/>
    <w:rsid w:val="001C059C"/>
    <w:pPr>
      <w:widowControl/>
      <w:spacing w:after="0"/>
      <w:ind w:left="4252"/>
      <w:jc w:val="left"/>
    </w:pPr>
    <w:rPr>
      <w:rFonts w:ascii="Gulliver-Regular" w:eastAsia="Calibri" w:hAnsi="Gulliver-Regular"/>
      <w:snapToGrid/>
      <w:sz w:val="20"/>
      <w:szCs w:val="22"/>
      <w:lang w:val="en-GB" w:eastAsia="en-US"/>
    </w:rPr>
  </w:style>
  <w:style w:type="character" w:customStyle="1" w:styleId="ClosingChar">
    <w:name w:val="Closing Char"/>
    <w:basedOn w:val="DefaultParagraphFont"/>
    <w:link w:val="Closing"/>
    <w:uiPriority w:val="99"/>
    <w:semiHidden/>
    <w:rsid w:val="001C059C"/>
    <w:rPr>
      <w:rFonts w:ascii="Gulliver-Regular" w:eastAsia="Calibri" w:hAnsi="Gulliver-Regular"/>
      <w:szCs w:val="22"/>
      <w:lang w:val="en-GB"/>
    </w:rPr>
  </w:style>
  <w:style w:type="paragraph" w:styleId="ListNumber5">
    <w:name w:val="List Number 5"/>
    <w:basedOn w:val="Normal"/>
    <w:uiPriority w:val="99"/>
    <w:semiHidden/>
    <w:unhideWhenUsed/>
    <w:rsid w:val="001C059C"/>
    <w:pPr>
      <w:widowControl/>
      <w:numPr>
        <w:numId w:val="3"/>
      </w:numPr>
      <w:tabs>
        <w:tab w:val="clear" w:pos="1492"/>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4">
    <w:name w:val="List Number 4"/>
    <w:basedOn w:val="Normal"/>
    <w:uiPriority w:val="99"/>
    <w:semiHidden/>
    <w:unhideWhenUsed/>
    <w:rsid w:val="001C059C"/>
    <w:pPr>
      <w:widowControl/>
      <w:numPr>
        <w:numId w:val="4"/>
      </w:numPr>
      <w:tabs>
        <w:tab w:val="clear" w:pos="1209"/>
        <w:tab w:val="num" w:pos="72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Number3">
    <w:name w:val="List Number 3"/>
    <w:basedOn w:val="Normal"/>
    <w:uiPriority w:val="99"/>
    <w:semiHidden/>
    <w:unhideWhenUsed/>
    <w:rsid w:val="001C059C"/>
    <w:pPr>
      <w:widowControl/>
      <w:numPr>
        <w:numId w:val="5"/>
      </w:numPr>
      <w:tabs>
        <w:tab w:val="clear" w:pos="926"/>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Number2">
    <w:name w:val="List Number 2"/>
    <w:basedOn w:val="Normal"/>
    <w:uiPriority w:val="99"/>
    <w:semiHidden/>
    <w:unhideWhenUsed/>
    <w:rsid w:val="001C059C"/>
    <w:pPr>
      <w:widowControl/>
      <w:numPr>
        <w:numId w:val="6"/>
      </w:numPr>
      <w:tabs>
        <w:tab w:val="clear" w:pos="643"/>
      </w:tabs>
      <w:spacing w:after="160" w:line="259" w:lineRule="auto"/>
      <w:ind w:left="1146"/>
      <w:contextualSpacing/>
      <w:jc w:val="left"/>
    </w:pPr>
    <w:rPr>
      <w:rFonts w:ascii="Gulliver-Regular" w:eastAsia="Calibri" w:hAnsi="Gulliver-Regular"/>
      <w:snapToGrid/>
      <w:sz w:val="20"/>
      <w:szCs w:val="22"/>
      <w:lang w:val="en-GB" w:eastAsia="en-US"/>
    </w:rPr>
  </w:style>
  <w:style w:type="paragraph" w:styleId="ListBullet5">
    <w:name w:val="List Bullet 5"/>
    <w:basedOn w:val="Normal"/>
    <w:uiPriority w:val="99"/>
    <w:semiHidden/>
    <w:unhideWhenUsed/>
    <w:rsid w:val="001C059C"/>
    <w:pPr>
      <w:widowControl/>
      <w:numPr>
        <w:numId w:val="7"/>
      </w:numPr>
      <w:tabs>
        <w:tab w:val="clear" w:pos="1492"/>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4">
    <w:name w:val="List Bullet 4"/>
    <w:basedOn w:val="Normal"/>
    <w:uiPriority w:val="99"/>
    <w:semiHidden/>
    <w:unhideWhenUsed/>
    <w:rsid w:val="001C059C"/>
    <w:pPr>
      <w:widowControl/>
      <w:numPr>
        <w:numId w:val="8"/>
      </w:numPr>
      <w:tabs>
        <w:tab w:val="clear" w:pos="1209"/>
      </w:tabs>
      <w:spacing w:after="160" w:line="259" w:lineRule="auto"/>
      <w:ind w:left="1440"/>
      <w:contextualSpacing/>
      <w:jc w:val="left"/>
    </w:pPr>
    <w:rPr>
      <w:rFonts w:ascii="Gulliver-Regular" w:eastAsia="Calibri" w:hAnsi="Gulliver-Regular"/>
      <w:snapToGrid/>
      <w:sz w:val="20"/>
      <w:szCs w:val="22"/>
      <w:lang w:val="en-GB" w:eastAsia="en-US"/>
    </w:rPr>
  </w:style>
  <w:style w:type="paragraph" w:styleId="ListBullet3">
    <w:name w:val="List Bullet 3"/>
    <w:basedOn w:val="Normal"/>
    <w:uiPriority w:val="99"/>
    <w:semiHidden/>
    <w:unhideWhenUsed/>
    <w:rsid w:val="001C059C"/>
    <w:pPr>
      <w:widowControl/>
      <w:numPr>
        <w:numId w:val="9"/>
      </w:numPr>
      <w:tabs>
        <w:tab w:val="clear" w:pos="926"/>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2">
    <w:name w:val="List Bullet 2"/>
    <w:basedOn w:val="Normal"/>
    <w:uiPriority w:val="99"/>
    <w:semiHidden/>
    <w:unhideWhenUsed/>
    <w:rsid w:val="001C059C"/>
    <w:pPr>
      <w:widowControl/>
      <w:numPr>
        <w:numId w:val="10"/>
      </w:numPr>
      <w:tabs>
        <w:tab w:val="clear" w:pos="643"/>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5">
    <w:name w:val="List 5"/>
    <w:basedOn w:val="Normal"/>
    <w:uiPriority w:val="99"/>
    <w:semiHidden/>
    <w:unhideWhenUsed/>
    <w:rsid w:val="001C059C"/>
    <w:pPr>
      <w:widowControl/>
      <w:spacing w:after="160" w:line="259" w:lineRule="auto"/>
      <w:ind w:left="1415" w:hanging="283"/>
      <w:contextualSpacing/>
      <w:jc w:val="left"/>
    </w:pPr>
    <w:rPr>
      <w:rFonts w:ascii="Gulliver-Regular" w:eastAsia="Calibri" w:hAnsi="Gulliver-Regular"/>
      <w:snapToGrid/>
      <w:sz w:val="20"/>
      <w:szCs w:val="22"/>
      <w:lang w:val="en-GB" w:eastAsia="en-US"/>
    </w:rPr>
  </w:style>
  <w:style w:type="paragraph" w:styleId="List4">
    <w:name w:val="List 4"/>
    <w:basedOn w:val="Normal"/>
    <w:uiPriority w:val="99"/>
    <w:semiHidden/>
    <w:unhideWhenUsed/>
    <w:rsid w:val="001C059C"/>
    <w:pPr>
      <w:widowControl/>
      <w:spacing w:after="160" w:line="259" w:lineRule="auto"/>
      <w:ind w:left="1132" w:hanging="283"/>
      <w:contextualSpacing/>
      <w:jc w:val="left"/>
    </w:pPr>
    <w:rPr>
      <w:rFonts w:ascii="Gulliver-Regular" w:eastAsia="Calibri" w:hAnsi="Gulliver-Regular"/>
      <w:snapToGrid/>
      <w:sz w:val="20"/>
      <w:szCs w:val="22"/>
      <w:lang w:val="en-GB" w:eastAsia="en-US"/>
    </w:rPr>
  </w:style>
  <w:style w:type="paragraph" w:styleId="List3">
    <w:name w:val="List 3"/>
    <w:basedOn w:val="Normal"/>
    <w:uiPriority w:val="99"/>
    <w:semiHidden/>
    <w:unhideWhenUsed/>
    <w:rsid w:val="001C059C"/>
    <w:pPr>
      <w:widowControl/>
      <w:spacing w:after="160" w:line="259" w:lineRule="auto"/>
      <w:ind w:left="849" w:hanging="283"/>
      <w:contextualSpacing/>
      <w:jc w:val="left"/>
    </w:pPr>
    <w:rPr>
      <w:rFonts w:ascii="Gulliver-Regular" w:eastAsia="Calibri" w:hAnsi="Gulliver-Regular"/>
      <w:snapToGrid/>
      <w:sz w:val="20"/>
      <w:szCs w:val="22"/>
      <w:lang w:val="en-GB" w:eastAsia="en-US"/>
    </w:rPr>
  </w:style>
  <w:style w:type="paragraph" w:styleId="List2">
    <w:name w:val="List 2"/>
    <w:basedOn w:val="Normal"/>
    <w:uiPriority w:val="99"/>
    <w:semiHidden/>
    <w:unhideWhenUsed/>
    <w:rsid w:val="001C059C"/>
    <w:pPr>
      <w:widowControl/>
      <w:spacing w:after="160" w:line="259" w:lineRule="auto"/>
      <w:ind w:left="566" w:hanging="283"/>
      <w:contextualSpacing/>
      <w:jc w:val="left"/>
    </w:pPr>
    <w:rPr>
      <w:rFonts w:ascii="Gulliver-Regular" w:eastAsia="Calibri" w:hAnsi="Gulliver-Regular"/>
      <w:snapToGrid/>
      <w:sz w:val="20"/>
      <w:szCs w:val="22"/>
      <w:lang w:val="en-GB" w:eastAsia="en-US"/>
    </w:rPr>
  </w:style>
  <w:style w:type="paragraph" w:styleId="ListNumber">
    <w:name w:val="List Number"/>
    <w:basedOn w:val="Normal"/>
    <w:uiPriority w:val="99"/>
    <w:semiHidden/>
    <w:unhideWhenUsed/>
    <w:rsid w:val="001C059C"/>
    <w:pPr>
      <w:widowControl/>
      <w:numPr>
        <w:numId w:val="11"/>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Bullet">
    <w:name w:val="List Bullet"/>
    <w:basedOn w:val="Normal"/>
    <w:uiPriority w:val="99"/>
    <w:semiHidden/>
    <w:unhideWhenUsed/>
    <w:rsid w:val="001C059C"/>
    <w:pPr>
      <w:widowControl/>
      <w:numPr>
        <w:numId w:val="12"/>
      </w:numPr>
      <w:tabs>
        <w:tab w:val="clear" w:pos="360"/>
      </w:tabs>
      <w:spacing w:after="160" w:line="259" w:lineRule="auto"/>
      <w:ind w:left="720"/>
      <w:contextualSpacing/>
      <w:jc w:val="left"/>
    </w:pPr>
    <w:rPr>
      <w:rFonts w:ascii="Gulliver-Regular" w:eastAsia="Calibri" w:hAnsi="Gulliver-Regular"/>
      <w:snapToGrid/>
      <w:sz w:val="20"/>
      <w:szCs w:val="22"/>
      <w:lang w:val="en-GB" w:eastAsia="en-US"/>
    </w:rPr>
  </w:style>
  <w:style w:type="paragraph" w:styleId="List">
    <w:name w:val="List"/>
    <w:basedOn w:val="Normal"/>
    <w:uiPriority w:val="99"/>
    <w:semiHidden/>
    <w:unhideWhenUsed/>
    <w:rsid w:val="001C059C"/>
    <w:pPr>
      <w:widowControl/>
      <w:spacing w:after="160" w:line="259" w:lineRule="auto"/>
      <w:ind w:left="283" w:hanging="283"/>
      <w:contextualSpacing/>
      <w:jc w:val="left"/>
    </w:pPr>
    <w:rPr>
      <w:rFonts w:ascii="Gulliver-Regular" w:eastAsia="Calibri" w:hAnsi="Gulliver-Regular"/>
      <w:snapToGrid/>
      <w:sz w:val="20"/>
      <w:szCs w:val="22"/>
      <w:lang w:val="en-GB" w:eastAsia="en-US"/>
    </w:rPr>
  </w:style>
  <w:style w:type="paragraph" w:customStyle="1" w:styleId="TOAHeading1">
    <w:name w:val="TOA Heading1"/>
    <w:basedOn w:val="Normal"/>
    <w:next w:val="Normal"/>
    <w:uiPriority w:val="99"/>
    <w:semiHidden/>
    <w:unhideWhenUsed/>
    <w:rsid w:val="001C059C"/>
    <w:pPr>
      <w:widowControl/>
      <w:spacing w:before="120" w:after="160" w:line="259" w:lineRule="auto"/>
      <w:jc w:val="left"/>
    </w:pPr>
    <w:rPr>
      <w:rFonts w:ascii="Calibri Light" w:eastAsia="Times New Roman" w:hAnsi="Calibri Light"/>
      <w:b/>
      <w:bCs/>
      <w:snapToGrid/>
      <w:sz w:val="24"/>
      <w:szCs w:val="24"/>
      <w:lang w:val="en-GB" w:eastAsia="en-US"/>
    </w:rPr>
  </w:style>
  <w:style w:type="paragraph" w:styleId="MacroText">
    <w:name w:val="macro"/>
    <w:link w:val="MacroTextChar"/>
    <w:uiPriority w:val="99"/>
    <w:semiHidden/>
    <w:unhideWhenUsed/>
    <w:rsid w:val="001C059C"/>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val="en-GB"/>
    </w:rPr>
  </w:style>
  <w:style w:type="character" w:customStyle="1" w:styleId="MacroTextChar">
    <w:name w:val="Macro Text Char"/>
    <w:basedOn w:val="DefaultParagraphFont"/>
    <w:link w:val="MacroText"/>
    <w:uiPriority w:val="99"/>
    <w:semiHidden/>
    <w:rsid w:val="001C059C"/>
    <w:rPr>
      <w:rFonts w:ascii="Consolas" w:eastAsia="Calibri" w:hAnsi="Consolas"/>
      <w:lang w:val="en-GB"/>
    </w:rPr>
  </w:style>
  <w:style w:type="paragraph" w:styleId="TableofAuthorities">
    <w:name w:val="table of authorities"/>
    <w:basedOn w:val="Normal"/>
    <w:next w:val="Normal"/>
    <w:uiPriority w:val="99"/>
    <w:semiHidden/>
    <w:unhideWhenUsed/>
    <w:rsid w:val="001C059C"/>
    <w:pPr>
      <w:widowControl/>
      <w:spacing w:after="0" w:line="259" w:lineRule="auto"/>
      <w:ind w:left="220" w:hanging="220"/>
      <w:jc w:val="left"/>
    </w:pPr>
    <w:rPr>
      <w:rFonts w:ascii="Gulliver-Regular" w:eastAsia="Calibri" w:hAnsi="Gulliver-Regular"/>
      <w:snapToGrid/>
      <w:sz w:val="20"/>
      <w:szCs w:val="22"/>
      <w:lang w:val="en-GB" w:eastAsia="en-US"/>
    </w:rPr>
  </w:style>
  <w:style w:type="character" w:styleId="LineNumber">
    <w:name w:val="line number"/>
    <w:basedOn w:val="DefaultParagraphFont"/>
    <w:uiPriority w:val="99"/>
    <w:semiHidden/>
    <w:unhideWhenUsed/>
    <w:rsid w:val="001C059C"/>
  </w:style>
  <w:style w:type="paragraph" w:customStyle="1" w:styleId="EnvelopeReturn1">
    <w:name w:val="Envelope Return1"/>
    <w:basedOn w:val="Normal"/>
    <w:next w:val="EnvelopeReturn"/>
    <w:uiPriority w:val="99"/>
    <w:semiHidden/>
    <w:unhideWhenUsed/>
    <w:rsid w:val="001C059C"/>
    <w:pPr>
      <w:widowControl/>
      <w:spacing w:after="0"/>
      <w:jc w:val="left"/>
    </w:pPr>
    <w:rPr>
      <w:rFonts w:ascii="Calibri Light" w:eastAsia="Times New Roman" w:hAnsi="Calibri Light"/>
      <w:snapToGrid/>
      <w:sz w:val="20"/>
      <w:lang w:val="en-GB" w:eastAsia="en-US"/>
    </w:rPr>
  </w:style>
  <w:style w:type="paragraph" w:customStyle="1" w:styleId="EnvelopeAddress1">
    <w:name w:val="Envelope Address1"/>
    <w:basedOn w:val="Normal"/>
    <w:next w:val="EnvelopeAddress"/>
    <w:uiPriority w:val="99"/>
    <w:semiHidden/>
    <w:unhideWhenUsed/>
    <w:rsid w:val="001C059C"/>
    <w:pPr>
      <w:framePr w:w="4320" w:h="2160" w:hRule="exact" w:hSpace="141" w:wrap="auto" w:hAnchor="page" w:xAlign="center" w:yAlign="bottom"/>
      <w:widowControl/>
      <w:spacing w:after="0"/>
      <w:ind w:left="1"/>
      <w:jc w:val="left"/>
    </w:pPr>
    <w:rPr>
      <w:rFonts w:ascii="Calibri Light" w:eastAsia="Times New Roman" w:hAnsi="Calibri Light"/>
      <w:snapToGrid/>
      <w:sz w:val="24"/>
      <w:szCs w:val="24"/>
      <w:lang w:val="en-GB" w:eastAsia="en-US"/>
    </w:rPr>
  </w:style>
  <w:style w:type="paragraph" w:styleId="TableofFigures">
    <w:name w:val="table of figures"/>
    <w:basedOn w:val="Normal"/>
    <w:next w:val="Normal"/>
    <w:uiPriority w:val="99"/>
    <w:semiHidden/>
    <w:unhideWhenUsed/>
    <w:rsid w:val="001C059C"/>
    <w:pPr>
      <w:widowControl/>
      <w:spacing w:after="0" w:line="259" w:lineRule="auto"/>
      <w:jc w:val="left"/>
    </w:pPr>
    <w:rPr>
      <w:rFonts w:ascii="Gulliver-Regular" w:eastAsia="Calibri" w:hAnsi="Gulliver-Regular"/>
      <w:snapToGrid/>
      <w:sz w:val="20"/>
      <w:szCs w:val="22"/>
      <w:lang w:val="en-GB" w:eastAsia="en-US"/>
    </w:rPr>
  </w:style>
  <w:style w:type="paragraph" w:styleId="Index1">
    <w:name w:val="index 1"/>
    <w:basedOn w:val="Normal"/>
    <w:next w:val="Normal"/>
    <w:autoRedefine/>
    <w:uiPriority w:val="99"/>
    <w:semiHidden/>
    <w:unhideWhenUsed/>
    <w:rsid w:val="001C059C"/>
    <w:pPr>
      <w:widowControl/>
      <w:spacing w:after="0"/>
      <w:ind w:left="220" w:hanging="220"/>
      <w:jc w:val="left"/>
    </w:pPr>
    <w:rPr>
      <w:rFonts w:ascii="Gulliver-Regular" w:eastAsia="Calibri" w:hAnsi="Gulliver-Regular"/>
      <w:snapToGrid/>
      <w:sz w:val="20"/>
      <w:szCs w:val="22"/>
      <w:lang w:val="en-GB" w:eastAsia="en-US"/>
    </w:rPr>
  </w:style>
  <w:style w:type="paragraph" w:customStyle="1" w:styleId="IndexHeading1">
    <w:name w:val="Index Heading1"/>
    <w:basedOn w:val="Normal"/>
    <w:next w:val="Index1"/>
    <w:uiPriority w:val="99"/>
    <w:semiHidden/>
    <w:unhideWhenUsed/>
    <w:rsid w:val="001C059C"/>
    <w:pPr>
      <w:widowControl/>
      <w:spacing w:after="160" w:line="259" w:lineRule="auto"/>
      <w:jc w:val="left"/>
    </w:pPr>
    <w:rPr>
      <w:rFonts w:ascii="Calibri Light" w:eastAsia="Times New Roman" w:hAnsi="Calibri Light"/>
      <w:b/>
      <w:bCs/>
      <w:snapToGrid/>
      <w:sz w:val="20"/>
      <w:szCs w:val="22"/>
      <w:lang w:val="en-GB" w:eastAsia="en-US"/>
    </w:rPr>
  </w:style>
  <w:style w:type="paragraph" w:styleId="NormalIndent">
    <w:name w:val="Normal Indent"/>
    <w:basedOn w:val="Normal"/>
    <w:uiPriority w:val="99"/>
    <w:semiHidden/>
    <w:unhideWhenUsed/>
    <w:rsid w:val="001C059C"/>
    <w:pPr>
      <w:widowControl/>
      <w:spacing w:after="160" w:line="259" w:lineRule="auto"/>
      <w:ind w:left="708"/>
      <w:jc w:val="left"/>
    </w:pPr>
    <w:rPr>
      <w:rFonts w:ascii="Gulliver-Regular" w:eastAsia="Calibri" w:hAnsi="Gulliver-Regular"/>
      <w:snapToGrid/>
      <w:sz w:val="20"/>
      <w:szCs w:val="22"/>
      <w:lang w:val="en-GB" w:eastAsia="en-US"/>
    </w:rPr>
  </w:style>
  <w:style w:type="paragraph" w:styleId="TOC9">
    <w:name w:val="toc 9"/>
    <w:basedOn w:val="Normal"/>
    <w:next w:val="Normal"/>
    <w:autoRedefine/>
    <w:uiPriority w:val="39"/>
    <w:semiHidden/>
    <w:unhideWhenUsed/>
    <w:rsid w:val="001C059C"/>
    <w:pPr>
      <w:widowControl/>
      <w:spacing w:after="100" w:line="259" w:lineRule="auto"/>
      <w:ind w:left="1760"/>
      <w:jc w:val="left"/>
    </w:pPr>
    <w:rPr>
      <w:rFonts w:ascii="Gulliver-Regular" w:eastAsia="Calibri" w:hAnsi="Gulliver-Regular"/>
      <w:snapToGrid/>
      <w:sz w:val="20"/>
      <w:szCs w:val="22"/>
      <w:lang w:val="en-GB" w:eastAsia="en-US"/>
    </w:rPr>
  </w:style>
  <w:style w:type="paragraph" w:styleId="TOC8">
    <w:name w:val="toc 8"/>
    <w:basedOn w:val="Normal"/>
    <w:next w:val="Normal"/>
    <w:autoRedefine/>
    <w:uiPriority w:val="39"/>
    <w:semiHidden/>
    <w:unhideWhenUsed/>
    <w:rsid w:val="001C059C"/>
    <w:pPr>
      <w:widowControl/>
      <w:spacing w:after="100" w:line="259" w:lineRule="auto"/>
      <w:ind w:left="1540"/>
      <w:jc w:val="left"/>
    </w:pPr>
    <w:rPr>
      <w:rFonts w:ascii="Gulliver-Regular" w:eastAsia="Calibri" w:hAnsi="Gulliver-Regular"/>
      <w:snapToGrid/>
      <w:sz w:val="20"/>
      <w:szCs w:val="22"/>
      <w:lang w:val="en-GB" w:eastAsia="en-US"/>
    </w:rPr>
  </w:style>
  <w:style w:type="paragraph" w:styleId="TOC7">
    <w:name w:val="toc 7"/>
    <w:basedOn w:val="Normal"/>
    <w:next w:val="Normal"/>
    <w:autoRedefine/>
    <w:uiPriority w:val="39"/>
    <w:semiHidden/>
    <w:unhideWhenUsed/>
    <w:rsid w:val="001C059C"/>
    <w:pPr>
      <w:widowControl/>
      <w:spacing w:after="100" w:line="259" w:lineRule="auto"/>
      <w:ind w:left="1320"/>
      <w:jc w:val="left"/>
    </w:pPr>
    <w:rPr>
      <w:rFonts w:ascii="Gulliver-Regular" w:eastAsia="Calibri" w:hAnsi="Gulliver-Regular"/>
      <w:snapToGrid/>
      <w:sz w:val="20"/>
      <w:szCs w:val="22"/>
      <w:lang w:val="en-GB" w:eastAsia="en-US"/>
    </w:rPr>
  </w:style>
  <w:style w:type="paragraph" w:styleId="TOC6">
    <w:name w:val="toc 6"/>
    <w:basedOn w:val="Normal"/>
    <w:next w:val="Normal"/>
    <w:autoRedefine/>
    <w:uiPriority w:val="39"/>
    <w:semiHidden/>
    <w:unhideWhenUsed/>
    <w:rsid w:val="001C059C"/>
    <w:pPr>
      <w:widowControl/>
      <w:spacing w:after="100" w:line="259" w:lineRule="auto"/>
      <w:ind w:left="1100"/>
      <w:jc w:val="left"/>
    </w:pPr>
    <w:rPr>
      <w:rFonts w:ascii="Gulliver-Regular" w:eastAsia="Calibri" w:hAnsi="Gulliver-Regular"/>
      <w:snapToGrid/>
      <w:sz w:val="20"/>
      <w:szCs w:val="22"/>
      <w:lang w:val="en-GB" w:eastAsia="en-US"/>
    </w:rPr>
  </w:style>
  <w:style w:type="paragraph" w:styleId="TOC5">
    <w:name w:val="toc 5"/>
    <w:basedOn w:val="Normal"/>
    <w:next w:val="Normal"/>
    <w:autoRedefine/>
    <w:uiPriority w:val="39"/>
    <w:semiHidden/>
    <w:unhideWhenUsed/>
    <w:rsid w:val="001C059C"/>
    <w:pPr>
      <w:widowControl/>
      <w:spacing w:after="100" w:line="259" w:lineRule="auto"/>
      <w:ind w:left="880"/>
      <w:jc w:val="left"/>
    </w:pPr>
    <w:rPr>
      <w:rFonts w:ascii="Gulliver-Regular" w:eastAsia="Calibri" w:hAnsi="Gulliver-Regular"/>
      <w:snapToGrid/>
      <w:sz w:val="20"/>
      <w:szCs w:val="22"/>
      <w:lang w:val="en-GB" w:eastAsia="en-US"/>
    </w:rPr>
  </w:style>
  <w:style w:type="paragraph" w:styleId="TOC4">
    <w:name w:val="toc 4"/>
    <w:basedOn w:val="Normal"/>
    <w:next w:val="Normal"/>
    <w:autoRedefine/>
    <w:uiPriority w:val="39"/>
    <w:semiHidden/>
    <w:unhideWhenUsed/>
    <w:rsid w:val="001C059C"/>
    <w:pPr>
      <w:widowControl/>
      <w:spacing w:after="100" w:line="259" w:lineRule="auto"/>
      <w:ind w:left="660"/>
      <w:jc w:val="left"/>
    </w:pPr>
    <w:rPr>
      <w:rFonts w:ascii="Gulliver-Regular" w:eastAsia="Calibri" w:hAnsi="Gulliver-Regular"/>
      <w:snapToGrid/>
      <w:sz w:val="20"/>
      <w:szCs w:val="22"/>
      <w:lang w:val="en-GB" w:eastAsia="en-US"/>
    </w:rPr>
  </w:style>
  <w:style w:type="paragraph" w:styleId="TOC3">
    <w:name w:val="toc 3"/>
    <w:basedOn w:val="Normal"/>
    <w:next w:val="Normal"/>
    <w:autoRedefine/>
    <w:uiPriority w:val="39"/>
    <w:semiHidden/>
    <w:unhideWhenUsed/>
    <w:rsid w:val="001C059C"/>
    <w:pPr>
      <w:widowControl/>
      <w:spacing w:after="100" w:line="259" w:lineRule="auto"/>
      <w:ind w:left="440"/>
      <w:jc w:val="left"/>
    </w:pPr>
    <w:rPr>
      <w:rFonts w:ascii="Gulliver-Regular" w:eastAsia="Calibri" w:hAnsi="Gulliver-Regular"/>
      <w:snapToGrid/>
      <w:sz w:val="20"/>
      <w:szCs w:val="22"/>
      <w:lang w:val="en-GB" w:eastAsia="en-US"/>
    </w:rPr>
  </w:style>
  <w:style w:type="paragraph" w:styleId="TOC2">
    <w:name w:val="toc 2"/>
    <w:basedOn w:val="Normal"/>
    <w:next w:val="Normal"/>
    <w:autoRedefine/>
    <w:uiPriority w:val="39"/>
    <w:semiHidden/>
    <w:unhideWhenUsed/>
    <w:rsid w:val="001C059C"/>
    <w:pPr>
      <w:widowControl/>
      <w:spacing w:after="100" w:line="259" w:lineRule="auto"/>
      <w:ind w:left="220"/>
      <w:jc w:val="left"/>
    </w:pPr>
    <w:rPr>
      <w:rFonts w:ascii="Gulliver-Regular" w:eastAsia="Calibri" w:hAnsi="Gulliver-Regular"/>
      <w:snapToGrid/>
      <w:sz w:val="20"/>
      <w:szCs w:val="22"/>
      <w:lang w:val="en-GB" w:eastAsia="en-US"/>
    </w:rPr>
  </w:style>
  <w:style w:type="paragraph" w:styleId="TOC1">
    <w:name w:val="toc 1"/>
    <w:basedOn w:val="Normal"/>
    <w:next w:val="Normal"/>
    <w:autoRedefine/>
    <w:uiPriority w:val="39"/>
    <w:semiHidden/>
    <w:unhideWhenUsed/>
    <w:rsid w:val="001C059C"/>
    <w:pPr>
      <w:widowControl/>
      <w:spacing w:after="100" w:line="259" w:lineRule="auto"/>
      <w:jc w:val="left"/>
    </w:pPr>
    <w:rPr>
      <w:rFonts w:ascii="Gulliver-Regular" w:eastAsia="Calibri" w:hAnsi="Gulliver-Regular"/>
      <w:snapToGrid/>
      <w:sz w:val="20"/>
      <w:szCs w:val="22"/>
      <w:lang w:val="en-GB" w:eastAsia="en-US"/>
    </w:rPr>
  </w:style>
  <w:style w:type="paragraph" w:styleId="Index9">
    <w:name w:val="index 9"/>
    <w:basedOn w:val="Normal"/>
    <w:next w:val="Normal"/>
    <w:autoRedefine/>
    <w:uiPriority w:val="99"/>
    <w:semiHidden/>
    <w:unhideWhenUsed/>
    <w:rsid w:val="001C059C"/>
    <w:pPr>
      <w:widowControl/>
      <w:spacing w:after="0"/>
      <w:ind w:left="1980" w:hanging="220"/>
      <w:jc w:val="left"/>
    </w:pPr>
    <w:rPr>
      <w:rFonts w:ascii="Gulliver-Regular" w:eastAsia="Calibri" w:hAnsi="Gulliver-Regular"/>
      <w:snapToGrid/>
      <w:sz w:val="20"/>
      <w:szCs w:val="22"/>
      <w:lang w:val="en-GB" w:eastAsia="en-US"/>
    </w:rPr>
  </w:style>
  <w:style w:type="paragraph" w:styleId="Index8">
    <w:name w:val="index 8"/>
    <w:basedOn w:val="Normal"/>
    <w:next w:val="Normal"/>
    <w:autoRedefine/>
    <w:uiPriority w:val="99"/>
    <w:semiHidden/>
    <w:unhideWhenUsed/>
    <w:rsid w:val="001C059C"/>
    <w:pPr>
      <w:widowControl/>
      <w:spacing w:after="0"/>
      <w:ind w:left="1760" w:hanging="220"/>
      <w:jc w:val="left"/>
    </w:pPr>
    <w:rPr>
      <w:rFonts w:ascii="Gulliver-Regular" w:eastAsia="Calibri" w:hAnsi="Gulliver-Regular"/>
      <w:snapToGrid/>
      <w:sz w:val="20"/>
      <w:szCs w:val="22"/>
      <w:lang w:val="en-GB" w:eastAsia="en-US"/>
    </w:rPr>
  </w:style>
  <w:style w:type="paragraph" w:styleId="Index7">
    <w:name w:val="index 7"/>
    <w:basedOn w:val="Normal"/>
    <w:next w:val="Normal"/>
    <w:autoRedefine/>
    <w:uiPriority w:val="99"/>
    <w:semiHidden/>
    <w:unhideWhenUsed/>
    <w:rsid w:val="001C059C"/>
    <w:pPr>
      <w:widowControl/>
      <w:spacing w:after="0"/>
      <w:ind w:left="1540" w:hanging="220"/>
      <w:jc w:val="left"/>
    </w:pPr>
    <w:rPr>
      <w:rFonts w:ascii="Gulliver-Regular" w:eastAsia="Calibri" w:hAnsi="Gulliver-Regular"/>
      <w:snapToGrid/>
      <w:sz w:val="20"/>
      <w:szCs w:val="22"/>
      <w:lang w:val="en-GB" w:eastAsia="en-US"/>
    </w:rPr>
  </w:style>
  <w:style w:type="paragraph" w:styleId="Index6">
    <w:name w:val="index 6"/>
    <w:basedOn w:val="Normal"/>
    <w:next w:val="Normal"/>
    <w:autoRedefine/>
    <w:uiPriority w:val="99"/>
    <w:semiHidden/>
    <w:unhideWhenUsed/>
    <w:rsid w:val="001C059C"/>
    <w:pPr>
      <w:widowControl/>
      <w:spacing w:after="0"/>
      <w:ind w:left="1320" w:hanging="220"/>
      <w:jc w:val="left"/>
    </w:pPr>
    <w:rPr>
      <w:rFonts w:ascii="Gulliver-Regular" w:eastAsia="Calibri" w:hAnsi="Gulliver-Regular"/>
      <w:snapToGrid/>
      <w:sz w:val="20"/>
      <w:szCs w:val="22"/>
      <w:lang w:val="en-GB" w:eastAsia="en-US"/>
    </w:rPr>
  </w:style>
  <w:style w:type="paragraph" w:styleId="Index5">
    <w:name w:val="index 5"/>
    <w:basedOn w:val="Normal"/>
    <w:next w:val="Normal"/>
    <w:autoRedefine/>
    <w:uiPriority w:val="99"/>
    <w:semiHidden/>
    <w:unhideWhenUsed/>
    <w:rsid w:val="001C059C"/>
    <w:pPr>
      <w:widowControl/>
      <w:spacing w:after="0"/>
      <w:ind w:left="1100" w:hanging="220"/>
      <w:jc w:val="left"/>
    </w:pPr>
    <w:rPr>
      <w:rFonts w:ascii="Gulliver-Regular" w:eastAsia="Calibri" w:hAnsi="Gulliver-Regular"/>
      <w:snapToGrid/>
      <w:sz w:val="20"/>
      <w:szCs w:val="22"/>
      <w:lang w:val="en-GB" w:eastAsia="en-US"/>
    </w:rPr>
  </w:style>
  <w:style w:type="paragraph" w:styleId="Index4">
    <w:name w:val="index 4"/>
    <w:basedOn w:val="Normal"/>
    <w:next w:val="Normal"/>
    <w:autoRedefine/>
    <w:uiPriority w:val="99"/>
    <w:semiHidden/>
    <w:unhideWhenUsed/>
    <w:rsid w:val="001C059C"/>
    <w:pPr>
      <w:widowControl/>
      <w:spacing w:after="0"/>
      <w:ind w:left="880" w:hanging="220"/>
      <w:jc w:val="left"/>
    </w:pPr>
    <w:rPr>
      <w:rFonts w:ascii="Gulliver-Regular" w:eastAsia="Calibri" w:hAnsi="Gulliver-Regular"/>
      <w:snapToGrid/>
      <w:sz w:val="20"/>
      <w:szCs w:val="22"/>
      <w:lang w:val="en-GB" w:eastAsia="en-US"/>
    </w:rPr>
  </w:style>
  <w:style w:type="paragraph" w:styleId="Index3">
    <w:name w:val="index 3"/>
    <w:basedOn w:val="Normal"/>
    <w:next w:val="Normal"/>
    <w:autoRedefine/>
    <w:uiPriority w:val="99"/>
    <w:semiHidden/>
    <w:unhideWhenUsed/>
    <w:rsid w:val="001C059C"/>
    <w:pPr>
      <w:widowControl/>
      <w:spacing w:after="0"/>
      <w:ind w:left="660" w:hanging="220"/>
      <w:jc w:val="left"/>
    </w:pPr>
    <w:rPr>
      <w:rFonts w:ascii="Gulliver-Regular" w:eastAsia="Calibri" w:hAnsi="Gulliver-Regular"/>
      <w:snapToGrid/>
      <w:sz w:val="20"/>
      <w:szCs w:val="22"/>
      <w:lang w:val="en-GB" w:eastAsia="en-US"/>
    </w:rPr>
  </w:style>
  <w:style w:type="paragraph" w:styleId="Index2">
    <w:name w:val="index 2"/>
    <w:basedOn w:val="Normal"/>
    <w:next w:val="Normal"/>
    <w:autoRedefine/>
    <w:uiPriority w:val="99"/>
    <w:semiHidden/>
    <w:unhideWhenUsed/>
    <w:rsid w:val="001C059C"/>
    <w:pPr>
      <w:widowControl/>
      <w:spacing w:after="0"/>
      <w:ind w:left="440" w:hanging="220"/>
      <w:jc w:val="left"/>
    </w:pPr>
    <w:rPr>
      <w:rFonts w:ascii="Gulliver-Regular" w:eastAsia="Calibri" w:hAnsi="Gulliver-Regular"/>
      <w:snapToGrid/>
      <w:sz w:val="20"/>
      <w:szCs w:val="22"/>
      <w:lang w:val="en-GB" w:eastAsia="en-US"/>
    </w:rPr>
  </w:style>
  <w:style w:type="table" w:customStyle="1" w:styleId="TableGrid2">
    <w:name w:val="Table Grid2"/>
    <w:basedOn w:val="TableNormal"/>
    <w:next w:val="TableGrid"/>
    <w:uiPriority w:val="39"/>
    <w:rsid w:val="001C059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1C059C"/>
    <w:pPr>
      <w:widowControl/>
      <w:spacing w:before="180" w:after="180"/>
      <w:jc w:val="left"/>
    </w:pPr>
    <w:rPr>
      <w:rFonts w:ascii="Gulliver-Regular" w:eastAsia="Calibri" w:hAnsi="Gulliver-Regular"/>
      <w:snapToGrid/>
      <w:sz w:val="24"/>
      <w:szCs w:val="24"/>
      <w:lang w:eastAsia="en-US"/>
    </w:rPr>
  </w:style>
  <w:style w:type="character" w:customStyle="1" w:styleId="Heading5Char1">
    <w:name w:val="Heading 5 Char1"/>
    <w:basedOn w:val="DefaultParagraphFont"/>
    <w:link w:val="Heading5"/>
    <w:uiPriority w:val="9"/>
    <w:semiHidden/>
    <w:rsid w:val="001C059C"/>
    <w:rPr>
      <w:rFonts w:asciiTheme="majorHAnsi" w:eastAsiaTheme="majorEastAsia" w:hAnsiTheme="majorHAnsi" w:cstheme="majorBidi"/>
      <w:snapToGrid w:val="0"/>
      <w:color w:val="243F60" w:themeColor="accent1" w:themeShade="7F"/>
      <w:sz w:val="22"/>
      <w:lang w:eastAsia="es-ES"/>
    </w:rPr>
  </w:style>
  <w:style w:type="character" w:customStyle="1" w:styleId="Heading6Char1">
    <w:name w:val="Heading 6 Char1"/>
    <w:basedOn w:val="DefaultParagraphFont"/>
    <w:link w:val="Heading6"/>
    <w:uiPriority w:val="9"/>
    <w:semiHidden/>
    <w:rsid w:val="001C059C"/>
    <w:rPr>
      <w:rFonts w:asciiTheme="majorHAnsi" w:eastAsiaTheme="majorEastAsia" w:hAnsiTheme="majorHAnsi" w:cstheme="majorBidi"/>
      <w:i/>
      <w:iCs/>
      <w:snapToGrid w:val="0"/>
      <w:color w:val="243F60" w:themeColor="accent1" w:themeShade="7F"/>
      <w:sz w:val="22"/>
      <w:lang w:eastAsia="es-ES"/>
    </w:rPr>
  </w:style>
  <w:style w:type="character" w:customStyle="1" w:styleId="Heading7Char1">
    <w:name w:val="Heading 7 Char1"/>
    <w:basedOn w:val="DefaultParagraphFont"/>
    <w:link w:val="Heading7"/>
    <w:uiPriority w:val="9"/>
    <w:semiHidden/>
    <w:rsid w:val="001C059C"/>
    <w:rPr>
      <w:rFonts w:asciiTheme="majorHAnsi" w:eastAsiaTheme="majorEastAsia" w:hAnsiTheme="majorHAnsi" w:cstheme="majorBidi"/>
      <w:i/>
      <w:iCs/>
      <w:snapToGrid w:val="0"/>
      <w:color w:val="404040" w:themeColor="text1" w:themeTint="BF"/>
      <w:sz w:val="22"/>
      <w:lang w:eastAsia="es-ES"/>
    </w:rPr>
  </w:style>
  <w:style w:type="character" w:customStyle="1" w:styleId="Heading8Char1">
    <w:name w:val="Heading 8 Char1"/>
    <w:basedOn w:val="DefaultParagraphFont"/>
    <w:link w:val="Heading8"/>
    <w:uiPriority w:val="9"/>
    <w:semiHidden/>
    <w:rsid w:val="001C059C"/>
    <w:rPr>
      <w:rFonts w:asciiTheme="majorHAnsi" w:eastAsiaTheme="majorEastAsia" w:hAnsiTheme="majorHAnsi" w:cstheme="majorBidi"/>
      <w:snapToGrid w:val="0"/>
      <w:color w:val="404040" w:themeColor="text1" w:themeTint="BF"/>
      <w:lang w:eastAsia="es-ES"/>
    </w:rPr>
  </w:style>
  <w:style w:type="character" w:customStyle="1" w:styleId="Heading9Char1">
    <w:name w:val="Heading 9 Char1"/>
    <w:basedOn w:val="DefaultParagraphFont"/>
    <w:link w:val="Heading9"/>
    <w:uiPriority w:val="9"/>
    <w:semiHidden/>
    <w:rsid w:val="001C059C"/>
    <w:rPr>
      <w:rFonts w:asciiTheme="majorHAnsi" w:eastAsiaTheme="majorEastAsia" w:hAnsiTheme="majorHAnsi" w:cstheme="majorBidi"/>
      <w:i/>
      <w:iCs/>
      <w:snapToGrid w:val="0"/>
      <w:color w:val="404040" w:themeColor="text1" w:themeTint="BF"/>
      <w:lang w:eastAsia="es-ES"/>
    </w:rPr>
  </w:style>
  <w:style w:type="character" w:styleId="IntenseReference">
    <w:name w:val="Intense Reference"/>
    <w:basedOn w:val="DefaultParagraphFont"/>
    <w:uiPriority w:val="32"/>
    <w:qFormat/>
    <w:rsid w:val="001C059C"/>
    <w:rPr>
      <w:b/>
      <w:bCs/>
      <w:smallCaps/>
      <w:color w:val="C0504D" w:themeColor="accent2"/>
      <w:spacing w:val="5"/>
      <w:u w:val="single"/>
    </w:rPr>
  </w:style>
  <w:style w:type="character" w:styleId="SubtleReference">
    <w:name w:val="Subtle Reference"/>
    <w:basedOn w:val="DefaultParagraphFont"/>
    <w:uiPriority w:val="31"/>
    <w:qFormat/>
    <w:rsid w:val="001C059C"/>
    <w:rPr>
      <w:smallCaps/>
      <w:color w:val="C0504D" w:themeColor="accent2"/>
      <w:u w:val="single"/>
    </w:rPr>
  </w:style>
  <w:style w:type="character" w:styleId="IntenseEmphasis">
    <w:name w:val="Intense Emphasis"/>
    <w:basedOn w:val="DefaultParagraphFont"/>
    <w:uiPriority w:val="21"/>
    <w:qFormat/>
    <w:rsid w:val="001C059C"/>
    <w:rPr>
      <w:b/>
      <w:bCs/>
      <w:i/>
      <w:iCs/>
      <w:color w:val="4F81BD" w:themeColor="accent1"/>
    </w:rPr>
  </w:style>
  <w:style w:type="character" w:styleId="SubtleEmphasis">
    <w:name w:val="Subtle Emphasis"/>
    <w:basedOn w:val="DefaultParagraphFont"/>
    <w:uiPriority w:val="19"/>
    <w:qFormat/>
    <w:rsid w:val="001C059C"/>
    <w:rPr>
      <w:i/>
      <w:iCs/>
      <w:color w:val="808080" w:themeColor="text1" w:themeTint="7F"/>
    </w:rPr>
  </w:style>
  <w:style w:type="paragraph" w:styleId="IntenseQuote">
    <w:name w:val="Intense Quote"/>
    <w:basedOn w:val="Normal"/>
    <w:next w:val="Normal"/>
    <w:link w:val="IntenseQuoteChar"/>
    <w:uiPriority w:val="30"/>
    <w:qFormat/>
    <w:rsid w:val="001C059C"/>
    <w:pPr>
      <w:pBdr>
        <w:bottom w:val="single" w:sz="4" w:space="4" w:color="4F81BD" w:themeColor="accent1"/>
      </w:pBdr>
      <w:spacing w:before="200" w:after="280"/>
      <w:ind w:left="936" w:right="936"/>
    </w:pPr>
    <w:rPr>
      <w:b/>
      <w:bCs/>
      <w:i/>
      <w:iCs/>
      <w:snapToGrid/>
      <w:color w:val="4472C4"/>
      <w:sz w:val="20"/>
      <w:lang w:eastAsia="en-US"/>
    </w:rPr>
  </w:style>
  <w:style w:type="character" w:customStyle="1" w:styleId="IntenseQuoteChar1">
    <w:name w:val="Intense Quote Char1"/>
    <w:basedOn w:val="DefaultParagraphFont"/>
    <w:uiPriority w:val="30"/>
    <w:rsid w:val="001C059C"/>
    <w:rPr>
      <w:b/>
      <w:bCs/>
      <w:i/>
      <w:iCs/>
      <w:snapToGrid w:val="0"/>
      <w:color w:val="4F81BD" w:themeColor="accent1"/>
      <w:sz w:val="22"/>
      <w:lang w:eastAsia="es-ES"/>
    </w:rPr>
  </w:style>
  <w:style w:type="paragraph" w:styleId="Quote">
    <w:name w:val="Quote"/>
    <w:basedOn w:val="Normal"/>
    <w:next w:val="Normal"/>
    <w:link w:val="QuoteChar"/>
    <w:uiPriority w:val="29"/>
    <w:qFormat/>
    <w:rsid w:val="001C059C"/>
    <w:rPr>
      <w:i/>
      <w:iCs/>
      <w:snapToGrid/>
      <w:color w:val="000000"/>
      <w:sz w:val="20"/>
      <w:lang w:eastAsia="en-US"/>
    </w:rPr>
  </w:style>
  <w:style w:type="character" w:customStyle="1" w:styleId="QuoteChar1">
    <w:name w:val="Quote Char1"/>
    <w:basedOn w:val="DefaultParagraphFont"/>
    <w:uiPriority w:val="29"/>
    <w:rsid w:val="001C059C"/>
    <w:rPr>
      <w:i/>
      <w:iCs/>
      <w:snapToGrid w:val="0"/>
      <w:color w:val="000000" w:themeColor="text1"/>
      <w:sz w:val="22"/>
      <w:lang w:eastAsia="es-ES"/>
    </w:rPr>
  </w:style>
  <w:style w:type="paragraph" w:styleId="BlockText">
    <w:name w:val="Block Text"/>
    <w:basedOn w:val="Normal"/>
    <w:uiPriority w:val="99"/>
    <w:semiHidden/>
    <w:unhideWhenUsed/>
    <w:rsid w:val="001C05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Subtitle">
    <w:name w:val="Subtitle"/>
    <w:basedOn w:val="Normal"/>
    <w:next w:val="Normal"/>
    <w:link w:val="SubtitleChar"/>
    <w:uiPriority w:val="11"/>
    <w:qFormat/>
    <w:rsid w:val="001C059C"/>
    <w:pPr>
      <w:numPr>
        <w:ilvl w:val="1"/>
      </w:numPr>
    </w:pPr>
    <w:rPr>
      <w:rFonts w:ascii="Calibri Light" w:eastAsia="Times New Roman" w:hAnsi="Calibri Light"/>
      <w:i/>
      <w:iCs/>
      <w:snapToGrid/>
      <w:color w:val="4472C4"/>
      <w:spacing w:val="15"/>
      <w:sz w:val="24"/>
      <w:szCs w:val="24"/>
      <w:lang w:eastAsia="en-US"/>
    </w:rPr>
  </w:style>
  <w:style w:type="character" w:customStyle="1" w:styleId="SubtitleChar1">
    <w:name w:val="Subtitle Char1"/>
    <w:basedOn w:val="DefaultParagraphFont"/>
    <w:uiPriority w:val="11"/>
    <w:rsid w:val="001C059C"/>
    <w:rPr>
      <w:rFonts w:asciiTheme="majorHAnsi" w:eastAsiaTheme="majorEastAsia" w:hAnsiTheme="majorHAnsi" w:cstheme="majorBidi"/>
      <w:i/>
      <w:iCs/>
      <w:snapToGrid w:val="0"/>
      <w:color w:val="4F81BD" w:themeColor="accent1"/>
      <w:spacing w:val="15"/>
      <w:sz w:val="24"/>
      <w:szCs w:val="24"/>
      <w:lang w:eastAsia="es-ES"/>
    </w:rPr>
  </w:style>
  <w:style w:type="paragraph" w:styleId="MessageHeader">
    <w:name w:val="Message Header"/>
    <w:basedOn w:val="Normal"/>
    <w:link w:val="MessageHeaderChar1"/>
    <w:uiPriority w:val="99"/>
    <w:semiHidden/>
    <w:unhideWhenUsed/>
    <w:rsid w:val="001C059C"/>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C059C"/>
    <w:rPr>
      <w:rFonts w:asciiTheme="majorHAnsi" w:eastAsiaTheme="majorEastAsia" w:hAnsiTheme="majorHAnsi" w:cstheme="majorBidi"/>
      <w:snapToGrid w:val="0"/>
      <w:sz w:val="24"/>
      <w:szCs w:val="24"/>
      <w:shd w:val="pct20" w:color="auto" w:fill="auto"/>
      <w:lang w:eastAsia="es-ES"/>
    </w:rPr>
  </w:style>
  <w:style w:type="paragraph" w:styleId="EnvelopeReturn">
    <w:name w:val="envelope return"/>
    <w:basedOn w:val="Normal"/>
    <w:uiPriority w:val="99"/>
    <w:semiHidden/>
    <w:unhideWhenUsed/>
    <w:rsid w:val="001C059C"/>
    <w:pPr>
      <w:spacing w:after="0"/>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1C059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customStyle="1" w:styleId="title-text">
    <w:name w:val="title-text"/>
    <w:rsid w:val="00740B19"/>
    <w:rPr>
      <w:lang w:val="en-US"/>
    </w:rPr>
  </w:style>
  <w:style w:type="paragraph" w:customStyle="1" w:styleId="10">
    <w:name w:val="Обычный1"/>
    <w:rsid w:val="00740B19"/>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TML1">
    <w:name w:val="Стандартный HTML1"/>
    <w:rsid w:val="00D96D45"/>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color w:val="000000"/>
      <w:u w:color="000000"/>
      <w:bdr w:val="nil"/>
    </w:rPr>
  </w:style>
  <w:style w:type="paragraph" w:customStyle="1" w:styleId="2">
    <w:name w:val="Основной текст (2)"/>
    <w:link w:val="20"/>
    <w:rsid w:val="00D96D45"/>
    <w:pPr>
      <w:widowControl w:val="0"/>
      <w:pBdr>
        <w:top w:val="nil"/>
        <w:left w:val="nil"/>
        <w:bottom w:val="nil"/>
        <w:right w:val="nil"/>
        <w:between w:val="nil"/>
        <w:bar w:val="nil"/>
      </w:pBdr>
      <w:shd w:val="clear" w:color="auto" w:fill="FFFFFF"/>
      <w:spacing w:before="360" w:line="280" w:lineRule="exact"/>
      <w:jc w:val="both"/>
    </w:pPr>
    <w:rPr>
      <w:rFonts w:ascii="Trebuchet MS" w:eastAsia="Arial Unicode MS" w:hAnsi="Trebuchet MS" w:cs="Arial Unicode MS"/>
      <w:color w:val="000000"/>
      <w:u w:color="000000"/>
      <w:bdr w:val="nil"/>
    </w:rPr>
  </w:style>
  <w:style w:type="character" w:customStyle="1" w:styleId="reference-text">
    <w:name w:val="reference-text"/>
    <w:rsid w:val="00D96D45"/>
  </w:style>
  <w:style w:type="character" w:customStyle="1" w:styleId="20">
    <w:name w:val="Основной текст (2)_"/>
    <w:link w:val="2"/>
    <w:rsid w:val="00D96D45"/>
    <w:rPr>
      <w:rFonts w:ascii="Trebuchet MS" w:eastAsia="Arial Unicode MS" w:hAnsi="Trebuchet MS" w:cs="Arial Unicode MS"/>
      <w:color w:val="000000"/>
      <w:u w:color="000000"/>
      <w:bdr w:val="nil"/>
      <w:shd w:val="clear" w:color="auto" w:fill="FFFFFF"/>
    </w:rPr>
  </w:style>
  <w:style w:type="character" w:customStyle="1" w:styleId="m6303430079689135616gmail-m7937380346382522235gmail-citation">
    <w:name w:val="m_6303430079689135616gmail-m_7937380346382522235gmail-citation"/>
    <w:rsid w:val="00D96D45"/>
  </w:style>
  <w:style w:type="paragraph" w:customStyle="1" w:styleId="HeaderFooter">
    <w:name w:val="Header &amp; Footer"/>
    <w:rsid w:val="00D96D45"/>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character" w:customStyle="1" w:styleId="Hyperlink0">
    <w:name w:val="Hyperlink.0"/>
    <w:basedOn w:val="title-text"/>
    <w:rsid w:val="00D96D45"/>
    <w:rPr>
      <w:rFonts w:ascii="Times New Roman" w:eastAsia="Times New Roman" w:hAnsi="Times New Roman" w:cs="Times New Roman"/>
      <w:color w:val="000000"/>
      <w:spacing w:val="2"/>
      <w:sz w:val="24"/>
      <w:szCs w:val="24"/>
      <w:u w:val="none" w:color="000000"/>
      <w:lang w:val="en-US"/>
    </w:rPr>
  </w:style>
  <w:style w:type="paragraph" w:customStyle="1" w:styleId="11">
    <w:name w:val="Абзац списка1"/>
    <w:rsid w:val="00D96D45"/>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ru-RU"/>
    </w:rPr>
  </w:style>
  <w:style w:type="character" w:customStyle="1" w:styleId="Hyperlink1">
    <w:name w:val="Hyperlink.1"/>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2">
    <w:name w:val="Hyperlink.2"/>
    <w:basedOn w:val="title-text"/>
    <w:rsid w:val="00D96D45"/>
    <w:rPr>
      <w:rFonts w:ascii="Times New Roman" w:eastAsia="Times New Roman" w:hAnsi="Times New Roman" w:cs="Times New Roman"/>
      <w:color w:val="000000"/>
      <w:sz w:val="24"/>
      <w:szCs w:val="24"/>
      <w:u w:val="none" w:color="000000"/>
      <w:shd w:val="clear" w:color="auto" w:fill="FFFFFF"/>
      <w:lang w:val="en-US"/>
    </w:rPr>
  </w:style>
  <w:style w:type="character" w:customStyle="1" w:styleId="Hyperlink3">
    <w:name w:val="Hyperlink.3"/>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4">
    <w:name w:val="Hyperlink.4"/>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5">
    <w:name w:val="Hyperlink.5"/>
    <w:basedOn w:val="title-text"/>
    <w:rsid w:val="00D96D45"/>
    <w:rPr>
      <w:rFonts w:ascii="Times New Roman" w:eastAsia="Times New Roman" w:hAnsi="Times New Roman" w:cs="Times New Roman"/>
      <w:color w:val="000000"/>
      <w:sz w:val="24"/>
      <w:szCs w:val="24"/>
      <w:u w:val="none" w:color="000000"/>
      <w:shd w:val="clear" w:color="auto" w:fill="F5F5F5"/>
      <w:lang w:val="en-US"/>
    </w:rPr>
  </w:style>
  <w:style w:type="character" w:customStyle="1" w:styleId="Hyperlink6">
    <w:name w:val="Hyperlink.6"/>
    <w:basedOn w:val="title-text"/>
    <w:rsid w:val="00D96D45"/>
    <w:rPr>
      <w:rFonts w:ascii="Times New Roman" w:eastAsia="Times New Roman" w:hAnsi="Times New Roman" w:cs="Times New Roman"/>
      <w:color w:val="000000"/>
      <w:sz w:val="24"/>
      <w:szCs w:val="24"/>
      <w:u w:val="none" w:color="000000"/>
      <w:lang w:val="en-US"/>
    </w:rPr>
  </w:style>
  <w:style w:type="character" w:customStyle="1" w:styleId="Hyperlink7">
    <w:name w:val="Hyperlink.7"/>
    <w:basedOn w:val="title-text"/>
    <w:rsid w:val="00D96D45"/>
    <w:rPr>
      <w:rFonts w:ascii="Times New Roman" w:eastAsia="Times New Roman" w:hAnsi="Times New Roman" w:cs="Times New Roman"/>
      <w:color w:val="000000"/>
      <w:spacing w:val="2"/>
      <w:sz w:val="24"/>
      <w:szCs w:val="24"/>
      <w:u w:val="none" w:color="000000"/>
      <w:shd w:val="clear" w:color="auto" w:fill="FCFCFC"/>
      <w:lang w:val="en-US"/>
    </w:rPr>
  </w:style>
  <w:style w:type="character" w:customStyle="1" w:styleId="Hyperlink8">
    <w:name w:val="Hyperlink.8"/>
    <w:basedOn w:val="title-text"/>
    <w:rsid w:val="00D96D45"/>
    <w:rPr>
      <w:rFonts w:ascii="Times New Roman" w:eastAsia="Times New Roman" w:hAnsi="Times New Roman" w:cs="Times New Roman"/>
      <w:color w:val="000000"/>
      <w:spacing w:val="4"/>
      <w:sz w:val="24"/>
      <w:szCs w:val="24"/>
      <w:u w:val="none" w:color="000000"/>
      <w:shd w:val="clear" w:color="auto" w:fill="FCFCFC"/>
      <w:lang w:val="en-US"/>
    </w:rPr>
  </w:style>
  <w:style w:type="character" w:customStyle="1" w:styleId="Hyperlink9">
    <w:name w:val="Hyperlink.9"/>
    <w:basedOn w:val="title-text"/>
    <w:rsid w:val="00D96D45"/>
    <w:rPr>
      <w:rFonts w:ascii="Times New Roman" w:eastAsia="Times New Roman" w:hAnsi="Times New Roman" w:cs="Times New Roman"/>
      <w:sz w:val="24"/>
      <w:szCs w:val="24"/>
      <w:lang w:val="en-US"/>
    </w:rPr>
  </w:style>
  <w:style w:type="character" w:customStyle="1" w:styleId="Hyperlink10">
    <w:name w:val="Hyperlink.10"/>
    <w:basedOn w:val="title-text"/>
    <w:rsid w:val="00D96D45"/>
    <w:rPr>
      <w:lang w:val="en-US"/>
    </w:rPr>
  </w:style>
  <w:style w:type="character" w:customStyle="1" w:styleId="Hyperlink11">
    <w:name w:val="Hyperlink.11"/>
    <w:basedOn w:val="title-text"/>
    <w:rsid w:val="00D96D45"/>
    <w:rPr>
      <w:color w:val="000000"/>
      <w:u w:val="none" w:color="000000"/>
      <w:shd w:val="clear" w:color="auto" w:fill="FFFFFF"/>
      <w:lang w:val="en-US"/>
    </w:rPr>
  </w:style>
  <w:style w:type="character" w:customStyle="1" w:styleId="authors">
    <w:name w:val="authors"/>
    <w:basedOn w:val="DefaultParagraphFont"/>
    <w:rsid w:val="008A488F"/>
  </w:style>
  <w:style w:type="character" w:customStyle="1" w:styleId="Datum1">
    <w:name w:val="Datum1"/>
    <w:basedOn w:val="DefaultParagraphFont"/>
    <w:rsid w:val="008A488F"/>
  </w:style>
  <w:style w:type="character" w:customStyle="1" w:styleId="UnresolvedMention1">
    <w:name w:val="Unresolved Mention1"/>
    <w:basedOn w:val="DefaultParagraphFont"/>
    <w:uiPriority w:val="99"/>
    <w:semiHidden/>
    <w:unhideWhenUsed/>
    <w:rsid w:val="00A51C11"/>
    <w:rPr>
      <w:color w:val="605E5C"/>
      <w:shd w:val="clear" w:color="auto" w:fill="E1DFDD"/>
    </w:rPr>
  </w:style>
  <w:style w:type="paragraph" w:customStyle="1" w:styleId="Sub-sectionheading">
    <w:name w:val="Sub-section heading"/>
    <w:basedOn w:val="Heading2"/>
    <w:next w:val="Text"/>
    <w:link w:val="Sub-sectionheadingChar"/>
    <w:qFormat/>
    <w:rsid w:val="009E13A8"/>
    <w:pPr>
      <w:keepLines/>
      <w:widowControl/>
      <w:numPr>
        <w:ilvl w:val="1"/>
        <w:numId w:val="13"/>
      </w:numPr>
      <w:spacing w:before="480" w:after="240"/>
      <w:ind w:left="510" w:hanging="510"/>
      <w:jc w:val="left"/>
    </w:pPr>
    <w:rPr>
      <w:rFonts w:ascii="Tahoma" w:eastAsia="Times New Roman" w:hAnsi="Tahoma" w:cs="Times New Roman"/>
      <w:b w:val="0"/>
      <w:bCs w:val="0"/>
      <w:iCs w:val="0"/>
      <w:snapToGrid/>
      <w:sz w:val="20"/>
      <w:szCs w:val="24"/>
      <w:lang w:val="en-GB"/>
    </w:rPr>
  </w:style>
  <w:style w:type="paragraph" w:customStyle="1" w:styleId="Text">
    <w:name w:val="Text"/>
    <w:basedOn w:val="Normal"/>
    <w:link w:val="TextChar"/>
    <w:qFormat/>
    <w:rsid w:val="009E13A8"/>
    <w:pPr>
      <w:widowControl/>
      <w:spacing w:after="120"/>
    </w:pPr>
    <w:rPr>
      <w:rFonts w:ascii="Tahoma" w:eastAsia="Calibri" w:hAnsi="Tahoma"/>
      <w:snapToGrid/>
      <w:sz w:val="20"/>
    </w:rPr>
  </w:style>
  <w:style w:type="character" w:customStyle="1" w:styleId="TextpoznpodarouChar1">
    <w:name w:val="Text pozn. pod čarou Char1"/>
    <w:uiPriority w:val="99"/>
    <w:semiHidden/>
    <w:rsid w:val="009E13A8"/>
    <w:rPr>
      <w:rFonts w:ascii="Times New Roman" w:eastAsia="Calibri" w:hAnsi="Times New Roman" w:cs="Times New Roman"/>
      <w:sz w:val="20"/>
      <w:szCs w:val="20"/>
      <w:lang w:val="pl-PL"/>
    </w:rPr>
  </w:style>
  <w:style w:type="character" w:customStyle="1" w:styleId="TitleofthepaperChar">
    <w:name w:val="Title of the paper Char"/>
    <w:link w:val="Titleofthepaper"/>
    <w:locked/>
    <w:rsid w:val="009E13A8"/>
    <w:rPr>
      <w:rFonts w:ascii="Gulliver-Regular" w:eastAsia="Times New Roman" w:hAnsi="Gulliver-Regular"/>
      <w:b/>
      <w:bCs/>
      <w:caps/>
      <w:lang w:val="en-GB"/>
    </w:rPr>
  </w:style>
  <w:style w:type="paragraph" w:customStyle="1" w:styleId="Titleofthepaper">
    <w:name w:val="Title of the paper"/>
    <w:basedOn w:val="Heading1"/>
    <w:next w:val="Normal"/>
    <w:link w:val="TitleofthepaperChar"/>
    <w:autoRedefine/>
    <w:qFormat/>
    <w:rsid w:val="009E13A8"/>
    <w:pPr>
      <w:keepLines/>
      <w:widowControl/>
      <w:spacing w:before="60" w:after="60"/>
      <w:jc w:val="center"/>
    </w:pPr>
    <w:rPr>
      <w:rFonts w:ascii="Gulliver-Regular" w:eastAsia="Times New Roman" w:hAnsi="Gulliver-Regular" w:cs="Times New Roman"/>
      <w:snapToGrid/>
      <w:kern w:val="0"/>
      <w:sz w:val="20"/>
      <w:szCs w:val="20"/>
      <w:lang w:val="en-GB" w:eastAsia="en-US"/>
    </w:rPr>
  </w:style>
  <w:style w:type="paragraph" w:customStyle="1" w:styleId="Authors0">
    <w:name w:val="Authors"/>
    <w:basedOn w:val="Normal"/>
    <w:link w:val="AuthorsChar"/>
    <w:qFormat/>
    <w:rsid w:val="009E13A8"/>
    <w:pPr>
      <w:widowControl/>
      <w:spacing w:after="0"/>
      <w:jc w:val="center"/>
    </w:pPr>
    <w:rPr>
      <w:rFonts w:ascii="Tahoma" w:eastAsia="Calibri" w:hAnsi="Tahoma"/>
      <w:b/>
      <w:snapToGrid/>
      <w:sz w:val="24"/>
      <w:szCs w:val="26"/>
      <w:lang w:val="en-GB"/>
    </w:rPr>
  </w:style>
  <w:style w:type="paragraph" w:customStyle="1" w:styleId="Contacts">
    <w:name w:val="Contacts"/>
    <w:basedOn w:val="Normal"/>
    <w:link w:val="ContactsChar"/>
    <w:qFormat/>
    <w:rsid w:val="009E13A8"/>
    <w:pPr>
      <w:widowControl/>
      <w:spacing w:after="360"/>
      <w:contextualSpacing/>
      <w:jc w:val="center"/>
    </w:pPr>
    <w:rPr>
      <w:rFonts w:ascii="Tahoma" w:eastAsia="Calibri" w:hAnsi="Tahoma"/>
      <w:snapToGrid/>
      <w:sz w:val="24"/>
      <w:szCs w:val="26"/>
      <w:lang w:val="en-GB"/>
    </w:rPr>
  </w:style>
  <w:style w:type="character" w:customStyle="1" w:styleId="AuthorsChar">
    <w:name w:val="Authors Char"/>
    <w:link w:val="Authors0"/>
    <w:rsid w:val="009E13A8"/>
    <w:rPr>
      <w:rFonts w:ascii="Tahoma" w:eastAsia="Calibri" w:hAnsi="Tahoma"/>
      <w:b/>
      <w:sz w:val="24"/>
      <w:szCs w:val="26"/>
      <w:lang w:val="en-GB"/>
    </w:rPr>
  </w:style>
  <w:style w:type="paragraph" w:customStyle="1" w:styleId="IntroductionConclusionReferences">
    <w:name w:val="Introduction/Conclusion/References"/>
    <w:basedOn w:val="Heading2"/>
    <w:next w:val="Text"/>
    <w:link w:val="IntroductionConclusionReferencesChar"/>
    <w:qFormat/>
    <w:rsid w:val="009E13A8"/>
    <w:pPr>
      <w:keepLines/>
      <w:widowControl/>
      <w:spacing w:before="480" w:after="240"/>
      <w:jc w:val="center"/>
    </w:pPr>
    <w:rPr>
      <w:rFonts w:ascii="Tahoma" w:eastAsia="Times New Roman" w:hAnsi="Tahoma" w:cs="Times New Roman"/>
      <w:b w:val="0"/>
      <w:bCs w:val="0"/>
      <w:iCs w:val="0"/>
      <w:caps/>
      <w:snapToGrid/>
      <w:sz w:val="20"/>
      <w:szCs w:val="24"/>
    </w:rPr>
  </w:style>
  <w:style w:type="character" w:customStyle="1" w:styleId="ContactsChar">
    <w:name w:val="Contacts Char"/>
    <w:link w:val="Contacts"/>
    <w:rsid w:val="009E13A8"/>
    <w:rPr>
      <w:rFonts w:ascii="Tahoma" w:eastAsia="Calibri" w:hAnsi="Tahoma"/>
      <w:sz w:val="24"/>
      <w:szCs w:val="26"/>
      <w:lang w:val="en-GB"/>
    </w:rPr>
  </w:style>
  <w:style w:type="character" w:customStyle="1" w:styleId="TextChar">
    <w:name w:val="Text Char"/>
    <w:link w:val="Text"/>
    <w:rsid w:val="009E13A8"/>
    <w:rPr>
      <w:rFonts w:ascii="Tahoma" w:eastAsia="Calibri" w:hAnsi="Tahoma"/>
    </w:rPr>
  </w:style>
  <w:style w:type="paragraph" w:customStyle="1" w:styleId="Sectionheading">
    <w:name w:val="Section heading"/>
    <w:basedOn w:val="IntroductionConclusionReferences"/>
    <w:next w:val="Text"/>
    <w:link w:val="SectionheadingChar"/>
    <w:qFormat/>
    <w:rsid w:val="009E13A8"/>
    <w:pPr>
      <w:numPr>
        <w:numId w:val="14"/>
      </w:numPr>
      <w:ind w:left="284" w:hanging="284"/>
    </w:pPr>
    <w:rPr>
      <w:b/>
      <w:iCs/>
      <w:caps w:val="0"/>
    </w:rPr>
  </w:style>
  <w:style w:type="character" w:customStyle="1" w:styleId="IntroductionConclusionReferencesChar">
    <w:name w:val="Introduction/Conclusion/References Char"/>
    <w:link w:val="IntroductionConclusionReferences"/>
    <w:rsid w:val="009E13A8"/>
    <w:rPr>
      <w:rFonts w:ascii="Tahoma" w:eastAsia="Times New Roman" w:hAnsi="Tahoma"/>
      <w:caps/>
      <w:szCs w:val="24"/>
    </w:rPr>
  </w:style>
  <w:style w:type="character" w:customStyle="1" w:styleId="SectionheadingChar">
    <w:name w:val="Section heading Char"/>
    <w:link w:val="Sectionheading"/>
    <w:rsid w:val="009E13A8"/>
    <w:rPr>
      <w:rFonts w:ascii="Tahoma" w:eastAsia="Times New Roman" w:hAnsi="Tahoma"/>
      <w:b/>
      <w:iCs/>
      <w:szCs w:val="24"/>
    </w:rPr>
  </w:style>
  <w:style w:type="character" w:customStyle="1" w:styleId="Sub-sectionheadingChar">
    <w:name w:val="Sub-section heading Char"/>
    <w:link w:val="Sub-sectionheading"/>
    <w:rsid w:val="009E13A8"/>
    <w:rPr>
      <w:rFonts w:ascii="Tahoma" w:eastAsia="Times New Roman" w:hAnsi="Tahoma"/>
      <w:szCs w:val="24"/>
      <w:lang w:val="en-GB"/>
    </w:rPr>
  </w:style>
  <w:style w:type="paragraph" w:customStyle="1" w:styleId="Source">
    <w:name w:val="Source"/>
    <w:basedOn w:val="Normal"/>
    <w:next w:val="Text"/>
    <w:link w:val="SourceChar"/>
    <w:qFormat/>
    <w:rsid w:val="009E13A8"/>
    <w:pPr>
      <w:widowControl/>
      <w:spacing w:before="120" w:after="120"/>
      <w:jc w:val="left"/>
    </w:pPr>
    <w:rPr>
      <w:rFonts w:ascii="Tahoma" w:eastAsia="Calibri" w:hAnsi="Tahoma"/>
      <w:snapToGrid/>
      <w:sz w:val="20"/>
    </w:rPr>
  </w:style>
  <w:style w:type="paragraph" w:customStyle="1" w:styleId="Listofreferences">
    <w:name w:val="List of references"/>
    <w:basedOn w:val="Text"/>
    <w:link w:val="ListofreferencesChar"/>
    <w:qFormat/>
    <w:rsid w:val="009E13A8"/>
    <w:rPr>
      <w:lang w:val="en-GB"/>
    </w:rPr>
  </w:style>
  <w:style w:type="character" w:customStyle="1" w:styleId="ListofreferencesChar">
    <w:name w:val="List of references Char"/>
    <w:link w:val="Listofreferences"/>
    <w:rsid w:val="009E13A8"/>
    <w:rPr>
      <w:rFonts w:ascii="Tahoma" w:eastAsia="Calibri" w:hAnsi="Tahoma"/>
      <w:lang w:val="en-GB"/>
    </w:rPr>
  </w:style>
  <w:style w:type="paragraph" w:customStyle="1" w:styleId="AbstraktKeywordsJEL">
    <w:name w:val="Abstrakt/Keywords/JEL"/>
    <w:basedOn w:val="Normal"/>
    <w:link w:val="AbstraktKeywordsJELChar"/>
    <w:qFormat/>
    <w:rsid w:val="009E13A8"/>
    <w:pPr>
      <w:widowControl/>
      <w:pBdr>
        <w:top w:val="single" w:sz="4" w:space="1" w:color="auto"/>
        <w:bottom w:val="single" w:sz="4" w:space="1" w:color="auto"/>
      </w:pBdr>
      <w:contextualSpacing/>
    </w:pPr>
    <w:rPr>
      <w:rFonts w:ascii="Tahoma" w:eastAsia="Calibri" w:hAnsi="Tahoma"/>
      <w:snapToGrid/>
      <w:sz w:val="20"/>
      <w:szCs w:val="24"/>
      <w:lang w:val="en-GB"/>
    </w:rPr>
  </w:style>
  <w:style w:type="paragraph" w:customStyle="1" w:styleId="Indentation">
    <w:name w:val="Indentation"/>
    <w:basedOn w:val="Text"/>
    <w:link w:val="IndentationChar"/>
    <w:qFormat/>
    <w:rsid w:val="009E13A8"/>
    <w:pPr>
      <w:numPr>
        <w:numId w:val="15"/>
      </w:numPr>
      <w:tabs>
        <w:tab w:val="left" w:pos="709"/>
      </w:tabs>
      <w:ind w:left="709" w:hanging="425"/>
      <w:contextualSpacing/>
    </w:pPr>
  </w:style>
  <w:style w:type="character" w:customStyle="1" w:styleId="AbstraktKeywordsJELChar">
    <w:name w:val="Abstrakt/Keywords/JEL Char"/>
    <w:link w:val="AbstraktKeywordsJEL"/>
    <w:rsid w:val="009E13A8"/>
    <w:rPr>
      <w:rFonts w:ascii="Tahoma" w:eastAsia="Calibri" w:hAnsi="Tahoma"/>
      <w:szCs w:val="24"/>
      <w:lang w:val="en-GB"/>
    </w:rPr>
  </w:style>
  <w:style w:type="paragraph" w:customStyle="1" w:styleId="TableFigure">
    <w:name w:val="Table/Figure"/>
    <w:basedOn w:val="Text"/>
    <w:next w:val="Source"/>
    <w:link w:val="TableFigureChar"/>
    <w:qFormat/>
    <w:rsid w:val="009E13A8"/>
    <w:pPr>
      <w:tabs>
        <w:tab w:val="left" w:pos="709"/>
      </w:tabs>
      <w:ind w:left="709" w:hanging="709"/>
    </w:pPr>
    <w:rPr>
      <w:b/>
    </w:rPr>
  </w:style>
  <w:style w:type="character" w:customStyle="1" w:styleId="IndentationChar">
    <w:name w:val="Indentation Char"/>
    <w:link w:val="Indentation"/>
    <w:rsid w:val="009E13A8"/>
    <w:rPr>
      <w:rFonts w:ascii="Tahoma" w:eastAsia="Calibri" w:hAnsi="Tahoma"/>
    </w:rPr>
  </w:style>
  <w:style w:type="character" w:customStyle="1" w:styleId="TableFigureChar">
    <w:name w:val="Table/Figure Char"/>
    <w:link w:val="TableFigure"/>
    <w:rsid w:val="009E13A8"/>
    <w:rPr>
      <w:rFonts w:ascii="Tahoma" w:eastAsia="Calibri" w:hAnsi="Tahoma"/>
      <w:b/>
    </w:rPr>
  </w:style>
  <w:style w:type="paragraph" w:customStyle="1" w:styleId="Tabletext">
    <w:name w:val="Table text"/>
    <w:basedOn w:val="Source"/>
    <w:link w:val="TabletextChar"/>
    <w:qFormat/>
    <w:rsid w:val="009E13A8"/>
    <w:pPr>
      <w:spacing w:before="60" w:after="60"/>
    </w:pPr>
  </w:style>
  <w:style w:type="character" w:customStyle="1" w:styleId="SourceChar">
    <w:name w:val="Source Char"/>
    <w:link w:val="Source"/>
    <w:rsid w:val="009E13A8"/>
    <w:rPr>
      <w:rFonts w:ascii="Tahoma" w:eastAsia="Calibri" w:hAnsi="Tahoma"/>
    </w:rPr>
  </w:style>
  <w:style w:type="character" w:customStyle="1" w:styleId="TabletextChar">
    <w:name w:val="Table text Char"/>
    <w:link w:val="Tabletext"/>
    <w:rsid w:val="009E13A8"/>
    <w:rPr>
      <w:rFonts w:ascii="Tahoma" w:eastAsia="Calibri" w:hAnsi="Tahoma"/>
    </w:rPr>
  </w:style>
  <w:style w:type="character" w:customStyle="1" w:styleId="FootnoteTextChar1">
    <w:name w:val="Footnote Text Char1"/>
    <w:rsid w:val="009E13A8"/>
    <w:rPr>
      <w:rFonts w:ascii="Times New Roman" w:eastAsia="Times New Roman" w:hAnsi="Times New Roman" w:cs="Times New Roman"/>
      <w:sz w:val="20"/>
      <w:szCs w:val="20"/>
      <w:lang w:val="en-US"/>
    </w:rPr>
  </w:style>
  <w:style w:type="paragraph" w:customStyle="1" w:styleId="DHBWFormat">
    <w:name w:val="DHBW Format"/>
    <w:basedOn w:val="Normal"/>
    <w:link w:val="DHBWFormatZchn"/>
    <w:qFormat/>
    <w:rsid w:val="009E13A8"/>
    <w:pPr>
      <w:widowControl/>
      <w:spacing w:after="200" w:line="360" w:lineRule="auto"/>
      <w:ind w:right="57"/>
    </w:pPr>
    <w:rPr>
      <w:rFonts w:eastAsia="Calibri" w:cs="Arial"/>
      <w:snapToGrid/>
      <w:sz w:val="24"/>
      <w:szCs w:val="28"/>
      <w:lang w:eastAsia="en-US"/>
    </w:rPr>
  </w:style>
  <w:style w:type="character" w:customStyle="1" w:styleId="DHBWFormatZchn">
    <w:name w:val="DHBW Format Zchn"/>
    <w:link w:val="DHBWFormat"/>
    <w:rsid w:val="009E13A8"/>
    <w:rPr>
      <w:rFonts w:eastAsia="Calibri" w:cs="Arial"/>
      <w:sz w:val="24"/>
      <w:szCs w:val="28"/>
    </w:rPr>
  </w:style>
  <w:style w:type="paragraph" w:customStyle="1" w:styleId="ninastandard">
    <w:name w:val="nina standard"/>
    <w:basedOn w:val="Normal"/>
    <w:rsid w:val="009E13A8"/>
    <w:pPr>
      <w:widowControl/>
      <w:spacing w:after="0" w:line="312" w:lineRule="auto"/>
      <w:ind w:firstLine="227"/>
    </w:pPr>
    <w:rPr>
      <w:rFonts w:ascii="Arial" w:eastAsia="Times New Roman" w:hAnsi="Arial"/>
      <w:snapToGrid/>
      <w:sz w:val="26"/>
      <w:lang w:val="de-DE" w:eastAsia="en-US"/>
    </w:rPr>
  </w:style>
  <w:style w:type="character" w:customStyle="1" w:styleId="cite1">
    <w:name w:val="cite1"/>
    <w:basedOn w:val="DefaultParagraphFont"/>
    <w:rsid w:val="009E13A8"/>
  </w:style>
  <w:style w:type="character" w:customStyle="1" w:styleId="NichtaufgelsteErwhnung1">
    <w:name w:val="Nicht aufgelöste Erwähnung1"/>
    <w:basedOn w:val="DefaultParagraphFont"/>
    <w:uiPriority w:val="99"/>
    <w:semiHidden/>
    <w:unhideWhenUsed/>
    <w:rsid w:val="009E13A8"/>
    <w:rPr>
      <w:color w:val="605E5C"/>
      <w:shd w:val="clear" w:color="auto" w:fill="E1DFDD"/>
    </w:rPr>
  </w:style>
  <w:style w:type="character" w:styleId="UnresolvedMention">
    <w:name w:val="Unresolved Mention"/>
    <w:basedOn w:val="DefaultParagraphFont"/>
    <w:uiPriority w:val="99"/>
    <w:semiHidden/>
    <w:unhideWhenUsed/>
    <w:rsid w:val="0042575A"/>
    <w:rPr>
      <w:color w:val="605E5C"/>
      <w:shd w:val="clear" w:color="auto" w:fill="E1DFDD"/>
    </w:rPr>
  </w:style>
  <w:style w:type="character" w:customStyle="1" w:styleId="tlid-translation">
    <w:name w:val="tlid-translation"/>
    <w:basedOn w:val="DefaultParagraphFont"/>
    <w:rsid w:val="000E74EB"/>
  </w:style>
  <w:style w:type="paragraph" w:customStyle="1" w:styleId="a">
    <w:name w:val="文献"/>
    <w:basedOn w:val="Normal"/>
    <w:autoRedefine/>
    <w:uiPriority w:val="99"/>
    <w:qFormat/>
    <w:rsid w:val="004E0A51"/>
    <w:pPr>
      <w:widowControl/>
      <w:numPr>
        <w:numId w:val="26"/>
      </w:numPr>
      <w:shd w:val="clear" w:color="auto" w:fill="FFFFFF"/>
      <w:spacing w:before="60" w:after="60"/>
      <w:contextualSpacing/>
    </w:pPr>
    <w:rPr>
      <w:rFonts w:ascii="Verdana" w:eastAsia="MS Mincho" w:hAnsi="Verdana"/>
      <w:snapToGrid/>
      <w:kern w:val="2"/>
      <w:sz w:val="18"/>
      <w:szCs w:val="18"/>
      <w:lang w:val="en-GB" w:eastAsia="ja-JP" w:bidi="en-US"/>
    </w:rPr>
  </w:style>
  <w:style w:type="table" w:customStyle="1" w:styleId="Tabukasmriekou1svetl1">
    <w:name w:val="Tabuľka s mriežkou 1 – svetlá1"/>
    <w:basedOn w:val="TableNormal"/>
    <w:uiPriority w:val="46"/>
    <w:rsid w:val="004E0A51"/>
    <w:rPr>
      <w:rFonts w:ascii="Calibri" w:eastAsia="Calibri" w:hAnsi="Calibri"/>
      <w:lang w:val="cs-CZ"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DPI71References">
    <w:name w:val="MDPI_7.1_References"/>
    <w:basedOn w:val="Normal"/>
    <w:qFormat/>
    <w:rsid w:val="004E0A51"/>
    <w:pPr>
      <w:widowControl/>
      <w:numPr>
        <w:numId w:val="33"/>
      </w:numPr>
      <w:adjustRightInd w:val="0"/>
      <w:snapToGrid w:val="0"/>
      <w:spacing w:after="0" w:line="260" w:lineRule="atLeast"/>
      <w:ind w:left="425" w:hanging="425"/>
    </w:pPr>
    <w:rPr>
      <w:rFonts w:ascii="Palatino Linotype" w:eastAsia="Times New Roman" w:hAnsi="Palatino Linotype"/>
      <w:snapToGrid/>
      <w:color w:val="000000"/>
      <w:sz w:val="18"/>
      <w:lang w:eastAsia="de-DE" w:bidi="en-US"/>
    </w:rPr>
  </w:style>
  <w:style w:type="character" w:customStyle="1" w:styleId="value">
    <w:name w:val="value"/>
    <w:basedOn w:val="DefaultParagraphFont"/>
    <w:rsid w:val="004E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195">
      <w:bodyDiv w:val="1"/>
      <w:marLeft w:val="0"/>
      <w:marRight w:val="0"/>
      <w:marTop w:val="0"/>
      <w:marBottom w:val="0"/>
      <w:divBdr>
        <w:top w:val="none" w:sz="0" w:space="0" w:color="auto"/>
        <w:left w:val="none" w:sz="0" w:space="0" w:color="auto"/>
        <w:bottom w:val="none" w:sz="0" w:space="0" w:color="auto"/>
        <w:right w:val="none" w:sz="0" w:space="0" w:color="auto"/>
      </w:divBdr>
    </w:div>
    <w:div w:id="147018073">
      <w:bodyDiv w:val="1"/>
      <w:marLeft w:val="0"/>
      <w:marRight w:val="0"/>
      <w:marTop w:val="0"/>
      <w:marBottom w:val="0"/>
      <w:divBdr>
        <w:top w:val="none" w:sz="0" w:space="0" w:color="auto"/>
        <w:left w:val="none" w:sz="0" w:space="0" w:color="auto"/>
        <w:bottom w:val="none" w:sz="0" w:space="0" w:color="auto"/>
        <w:right w:val="none" w:sz="0" w:space="0" w:color="auto"/>
      </w:divBdr>
    </w:div>
    <w:div w:id="202407634">
      <w:bodyDiv w:val="1"/>
      <w:marLeft w:val="0"/>
      <w:marRight w:val="0"/>
      <w:marTop w:val="0"/>
      <w:marBottom w:val="0"/>
      <w:divBdr>
        <w:top w:val="none" w:sz="0" w:space="0" w:color="auto"/>
        <w:left w:val="none" w:sz="0" w:space="0" w:color="auto"/>
        <w:bottom w:val="none" w:sz="0" w:space="0" w:color="auto"/>
        <w:right w:val="none" w:sz="0" w:space="0" w:color="auto"/>
      </w:divBdr>
    </w:div>
    <w:div w:id="234048154">
      <w:bodyDiv w:val="1"/>
      <w:marLeft w:val="0"/>
      <w:marRight w:val="0"/>
      <w:marTop w:val="0"/>
      <w:marBottom w:val="0"/>
      <w:divBdr>
        <w:top w:val="none" w:sz="0" w:space="0" w:color="auto"/>
        <w:left w:val="none" w:sz="0" w:space="0" w:color="auto"/>
        <w:bottom w:val="none" w:sz="0" w:space="0" w:color="auto"/>
        <w:right w:val="none" w:sz="0" w:space="0" w:color="auto"/>
      </w:divBdr>
    </w:div>
    <w:div w:id="236788869">
      <w:bodyDiv w:val="1"/>
      <w:marLeft w:val="0"/>
      <w:marRight w:val="0"/>
      <w:marTop w:val="0"/>
      <w:marBottom w:val="0"/>
      <w:divBdr>
        <w:top w:val="none" w:sz="0" w:space="0" w:color="auto"/>
        <w:left w:val="none" w:sz="0" w:space="0" w:color="auto"/>
        <w:bottom w:val="none" w:sz="0" w:space="0" w:color="auto"/>
        <w:right w:val="none" w:sz="0" w:space="0" w:color="auto"/>
      </w:divBdr>
    </w:div>
    <w:div w:id="247234318">
      <w:bodyDiv w:val="1"/>
      <w:marLeft w:val="0"/>
      <w:marRight w:val="0"/>
      <w:marTop w:val="0"/>
      <w:marBottom w:val="0"/>
      <w:divBdr>
        <w:top w:val="none" w:sz="0" w:space="0" w:color="auto"/>
        <w:left w:val="none" w:sz="0" w:space="0" w:color="auto"/>
        <w:bottom w:val="none" w:sz="0" w:space="0" w:color="auto"/>
        <w:right w:val="none" w:sz="0" w:space="0" w:color="auto"/>
      </w:divBdr>
    </w:div>
    <w:div w:id="250236465">
      <w:bodyDiv w:val="1"/>
      <w:marLeft w:val="0"/>
      <w:marRight w:val="0"/>
      <w:marTop w:val="0"/>
      <w:marBottom w:val="0"/>
      <w:divBdr>
        <w:top w:val="none" w:sz="0" w:space="0" w:color="auto"/>
        <w:left w:val="none" w:sz="0" w:space="0" w:color="auto"/>
        <w:bottom w:val="none" w:sz="0" w:space="0" w:color="auto"/>
        <w:right w:val="none" w:sz="0" w:space="0" w:color="auto"/>
      </w:divBdr>
    </w:div>
    <w:div w:id="433481964">
      <w:bodyDiv w:val="1"/>
      <w:marLeft w:val="0"/>
      <w:marRight w:val="0"/>
      <w:marTop w:val="0"/>
      <w:marBottom w:val="0"/>
      <w:divBdr>
        <w:top w:val="none" w:sz="0" w:space="0" w:color="auto"/>
        <w:left w:val="none" w:sz="0" w:space="0" w:color="auto"/>
        <w:bottom w:val="none" w:sz="0" w:space="0" w:color="auto"/>
        <w:right w:val="none" w:sz="0" w:space="0" w:color="auto"/>
      </w:divBdr>
    </w:div>
    <w:div w:id="435366040">
      <w:bodyDiv w:val="1"/>
      <w:marLeft w:val="0"/>
      <w:marRight w:val="0"/>
      <w:marTop w:val="0"/>
      <w:marBottom w:val="0"/>
      <w:divBdr>
        <w:top w:val="none" w:sz="0" w:space="0" w:color="auto"/>
        <w:left w:val="none" w:sz="0" w:space="0" w:color="auto"/>
        <w:bottom w:val="none" w:sz="0" w:space="0" w:color="auto"/>
        <w:right w:val="none" w:sz="0" w:space="0" w:color="auto"/>
      </w:divBdr>
    </w:div>
    <w:div w:id="446049972">
      <w:bodyDiv w:val="1"/>
      <w:marLeft w:val="0"/>
      <w:marRight w:val="0"/>
      <w:marTop w:val="0"/>
      <w:marBottom w:val="0"/>
      <w:divBdr>
        <w:top w:val="none" w:sz="0" w:space="0" w:color="auto"/>
        <w:left w:val="none" w:sz="0" w:space="0" w:color="auto"/>
        <w:bottom w:val="none" w:sz="0" w:space="0" w:color="auto"/>
        <w:right w:val="none" w:sz="0" w:space="0" w:color="auto"/>
      </w:divBdr>
      <w:divsChild>
        <w:div w:id="181676239">
          <w:marLeft w:val="10"/>
          <w:marRight w:val="0"/>
          <w:marTop w:val="0"/>
          <w:marBottom w:val="0"/>
          <w:divBdr>
            <w:top w:val="none" w:sz="0" w:space="0" w:color="auto"/>
            <w:left w:val="none" w:sz="0" w:space="0" w:color="auto"/>
            <w:bottom w:val="none" w:sz="0" w:space="0" w:color="auto"/>
            <w:right w:val="none" w:sz="0" w:space="0" w:color="auto"/>
          </w:divBdr>
          <w:divsChild>
            <w:div w:id="264307282">
              <w:marLeft w:val="0"/>
              <w:marRight w:val="0"/>
              <w:marTop w:val="0"/>
              <w:marBottom w:val="0"/>
              <w:divBdr>
                <w:top w:val="dotted" w:sz="12" w:space="6" w:color="000000"/>
                <w:left w:val="none" w:sz="0" w:space="0" w:color="auto"/>
                <w:bottom w:val="none" w:sz="0" w:space="0" w:color="auto"/>
                <w:right w:val="none" w:sz="0" w:space="0" w:color="auto"/>
              </w:divBdr>
            </w:div>
          </w:divsChild>
        </w:div>
      </w:divsChild>
    </w:div>
    <w:div w:id="625505265">
      <w:bodyDiv w:val="1"/>
      <w:marLeft w:val="0"/>
      <w:marRight w:val="0"/>
      <w:marTop w:val="0"/>
      <w:marBottom w:val="0"/>
      <w:divBdr>
        <w:top w:val="none" w:sz="0" w:space="0" w:color="auto"/>
        <w:left w:val="none" w:sz="0" w:space="0" w:color="auto"/>
        <w:bottom w:val="none" w:sz="0" w:space="0" w:color="auto"/>
        <w:right w:val="none" w:sz="0" w:space="0" w:color="auto"/>
      </w:divBdr>
    </w:div>
    <w:div w:id="677272093">
      <w:bodyDiv w:val="1"/>
      <w:marLeft w:val="0"/>
      <w:marRight w:val="0"/>
      <w:marTop w:val="0"/>
      <w:marBottom w:val="0"/>
      <w:divBdr>
        <w:top w:val="none" w:sz="0" w:space="0" w:color="auto"/>
        <w:left w:val="none" w:sz="0" w:space="0" w:color="auto"/>
        <w:bottom w:val="none" w:sz="0" w:space="0" w:color="auto"/>
        <w:right w:val="none" w:sz="0" w:space="0" w:color="auto"/>
      </w:divBdr>
    </w:div>
    <w:div w:id="699353577">
      <w:bodyDiv w:val="1"/>
      <w:marLeft w:val="0"/>
      <w:marRight w:val="0"/>
      <w:marTop w:val="0"/>
      <w:marBottom w:val="0"/>
      <w:divBdr>
        <w:top w:val="none" w:sz="0" w:space="0" w:color="auto"/>
        <w:left w:val="none" w:sz="0" w:space="0" w:color="auto"/>
        <w:bottom w:val="none" w:sz="0" w:space="0" w:color="auto"/>
        <w:right w:val="none" w:sz="0" w:space="0" w:color="auto"/>
      </w:divBdr>
    </w:div>
    <w:div w:id="728309720">
      <w:bodyDiv w:val="1"/>
      <w:marLeft w:val="0"/>
      <w:marRight w:val="0"/>
      <w:marTop w:val="0"/>
      <w:marBottom w:val="0"/>
      <w:divBdr>
        <w:top w:val="none" w:sz="0" w:space="0" w:color="auto"/>
        <w:left w:val="none" w:sz="0" w:space="0" w:color="auto"/>
        <w:bottom w:val="none" w:sz="0" w:space="0" w:color="auto"/>
        <w:right w:val="none" w:sz="0" w:space="0" w:color="auto"/>
      </w:divBdr>
    </w:div>
    <w:div w:id="766198344">
      <w:bodyDiv w:val="1"/>
      <w:marLeft w:val="0"/>
      <w:marRight w:val="0"/>
      <w:marTop w:val="0"/>
      <w:marBottom w:val="0"/>
      <w:divBdr>
        <w:top w:val="none" w:sz="0" w:space="0" w:color="auto"/>
        <w:left w:val="none" w:sz="0" w:space="0" w:color="auto"/>
        <w:bottom w:val="none" w:sz="0" w:space="0" w:color="auto"/>
        <w:right w:val="none" w:sz="0" w:space="0" w:color="auto"/>
      </w:divBdr>
    </w:div>
    <w:div w:id="805008169">
      <w:bodyDiv w:val="1"/>
      <w:marLeft w:val="0"/>
      <w:marRight w:val="0"/>
      <w:marTop w:val="0"/>
      <w:marBottom w:val="0"/>
      <w:divBdr>
        <w:top w:val="none" w:sz="0" w:space="0" w:color="auto"/>
        <w:left w:val="none" w:sz="0" w:space="0" w:color="auto"/>
        <w:bottom w:val="none" w:sz="0" w:space="0" w:color="auto"/>
        <w:right w:val="none" w:sz="0" w:space="0" w:color="auto"/>
      </w:divBdr>
    </w:div>
    <w:div w:id="880047745">
      <w:bodyDiv w:val="1"/>
      <w:marLeft w:val="0"/>
      <w:marRight w:val="0"/>
      <w:marTop w:val="0"/>
      <w:marBottom w:val="0"/>
      <w:divBdr>
        <w:top w:val="none" w:sz="0" w:space="0" w:color="auto"/>
        <w:left w:val="none" w:sz="0" w:space="0" w:color="auto"/>
        <w:bottom w:val="none" w:sz="0" w:space="0" w:color="auto"/>
        <w:right w:val="none" w:sz="0" w:space="0" w:color="auto"/>
      </w:divBdr>
    </w:div>
    <w:div w:id="1003045096">
      <w:bodyDiv w:val="1"/>
      <w:marLeft w:val="0"/>
      <w:marRight w:val="0"/>
      <w:marTop w:val="0"/>
      <w:marBottom w:val="0"/>
      <w:divBdr>
        <w:top w:val="none" w:sz="0" w:space="0" w:color="auto"/>
        <w:left w:val="none" w:sz="0" w:space="0" w:color="auto"/>
        <w:bottom w:val="none" w:sz="0" w:space="0" w:color="auto"/>
        <w:right w:val="none" w:sz="0" w:space="0" w:color="auto"/>
      </w:divBdr>
    </w:div>
    <w:div w:id="1020399027">
      <w:bodyDiv w:val="1"/>
      <w:marLeft w:val="0"/>
      <w:marRight w:val="0"/>
      <w:marTop w:val="0"/>
      <w:marBottom w:val="0"/>
      <w:divBdr>
        <w:top w:val="none" w:sz="0" w:space="0" w:color="auto"/>
        <w:left w:val="none" w:sz="0" w:space="0" w:color="auto"/>
        <w:bottom w:val="none" w:sz="0" w:space="0" w:color="auto"/>
        <w:right w:val="none" w:sz="0" w:space="0" w:color="auto"/>
      </w:divBdr>
    </w:div>
    <w:div w:id="1139421843">
      <w:bodyDiv w:val="1"/>
      <w:marLeft w:val="0"/>
      <w:marRight w:val="0"/>
      <w:marTop w:val="0"/>
      <w:marBottom w:val="0"/>
      <w:divBdr>
        <w:top w:val="none" w:sz="0" w:space="0" w:color="auto"/>
        <w:left w:val="none" w:sz="0" w:space="0" w:color="auto"/>
        <w:bottom w:val="none" w:sz="0" w:space="0" w:color="auto"/>
        <w:right w:val="none" w:sz="0" w:space="0" w:color="auto"/>
      </w:divBdr>
    </w:div>
    <w:div w:id="1151559520">
      <w:bodyDiv w:val="1"/>
      <w:marLeft w:val="0"/>
      <w:marRight w:val="0"/>
      <w:marTop w:val="0"/>
      <w:marBottom w:val="0"/>
      <w:divBdr>
        <w:top w:val="none" w:sz="0" w:space="0" w:color="auto"/>
        <w:left w:val="none" w:sz="0" w:space="0" w:color="auto"/>
        <w:bottom w:val="none" w:sz="0" w:space="0" w:color="auto"/>
        <w:right w:val="none" w:sz="0" w:space="0" w:color="auto"/>
      </w:divBdr>
    </w:div>
    <w:div w:id="1158813983">
      <w:bodyDiv w:val="1"/>
      <w:marLeft w:val="0"/>
      <w:marRight w:val="0"/>
      <w:marTop w:val="0"/>
      <w:marBottom w:val="0"/>
      <w:divBdr>
        <w:top w:val="none" w:sz="0" w:space="0" w:color="auto"/>
        <w:left w:val="none" w:sz="0" w:space="0" w:color="auto"/>
        <w:bottom w:val="none" w:sz="0" w:space="0" w:color="auto"/>
        <w:right w:val="none" w:sz="0" w:space="0" w:color="auto"/>
      </w:divBdr>
    </w:div>
    <w:div w:id="1191721333">
      <w:bodyDiv w:val="1"/>
      <w:marLeft w:val="0"/>
      <w:marRight w:val="0"/>
      <w:marTop w:val="0"/>
      <w:marBottom w:val="0"/>
      <w:divBdr>
        <w:top w:val="none" w:sz="0" w:space="0" w:color="auto"/>
        <w:left w:val="none" w:sz="0" w:space="0" w:color="auto"/>
        <w:bottom w:val="none" w:sz="0" w:space="0" w:color="auto"/>
        <w:right w:val="none" w:sz="0" w:space="0" w:color="auto"/>
      </w:divBdr>
    </w:div>
    <w:div w:id="1197892142">
      <w:bodyDiv w:val="1"/>
      <w:marLeft w:val="0"/>
      <w:marRight w:val="0"/>
      <w:marTop w:val="0"/>
      <w:marBottom w:val="0"/>
      <w:divBdr>
        <w:top w:val="none" w:sz="0" w:space="0" w:color="auto"/>
        <w:left w:val="none" w:sz="0" w:space="0" w:color="auto"/>
        <w:bottom w:val="none" w:sz="0" w:space="0" w:color="auto"/>
        <w:right w:val="none" w:sz="0" w:space="0" w:color="auto"/>
      </w:divBdr>
    </w:div>
    <w:div w:id="1238788699">
      <w:bodyDiv w:val="1"/>
      <w:marLeft w:val="0"/>
      <w:marRight w:val="0"/>
      <w:marTop w:val="0"/>
      <w:marBottom w:val="0"/>
      <w:divBdr>
        <w:top w:val="none" w:sz="0" w:space="0" w:color="auto"/>
        <w:left w:val="none" w:sz="0" w:space="0" w:color="auto"/>
        <w:bottom w:val="none" w:sz="0" w:space="0" w:color="auto"/>
        <w:right w:val="none" w:sz="0" w:space="0" w:color="auto"/>
      </w:divBdr>
    </w:div>
    <w:div w:id="1247106049">
      <w:bodyDiv w:val="1"/>
      <w:marLeft w:val="0"/>
      <w:marRight w:val="0"/>
      <w:marTop w:val="0"/>
      <w:marBottom w:val="0"/>
      <w:divBdr>
        <w:top w:val="none" w:sz="0" w:space="0" w:color="auto"/>
        <w:left w:val="none" w:sz="0" w:space="0" w:color="auto"/>
        <w:bottom w:val="none" w:sz="0" w:space="0" w:color="auto"/>
        <w:right w:val="none" w:sz="0" w:space="0" w:color="auto"/>
      </w:divBdr>
    </w:div>
    <w:div w:id="1251161930">
      <w:bodyDiv w:val="1"/>
      <w:marLeft w:val="0"/>
      <w:marRight w:val="0"/>
      <w:marTop w:val="0"/>
      <w:marBottom w:val="0"/>
      <w:divBdr>
        <w:top w:val="none" w:sz="0" w:space="0" w:color="auto"/>
        <w:left w:val="none" w:sz="0" w:space="0" w:color="auto"/>
        <w:bottom w:val="none" w:sz="0" w:space="0" w:color="auto"/>
        <w:right w:val="none" w:sz="0" w:space="0" w:color="auto"/>
      </w:divBdr>
    </w:div>
    <w:div w:id="1339314391">
      <w:bodyDiv w:val="1"/>
      <w:marLeft w:val="0"/>
      <w:marRight w:val="0"/>
      <w:marTop w:val="0"/>
      <w:marBottom w:val="0"/>
      <w:divBdr>
        <w:top w:val="none" w:sz="0" w:space="0" w:color="auto"/>
        <w:left w:val="none" w:sz="0" w:space="0" w:color="auto"/>
        <w:bottom w:val="none" w:sz="0" w:space="0" w:color="auto"/>
        <w:right w:val="none" w:sz="0" w:space="0" w:color="auto"/>
      </w:divBdr>
    </w:div>
    <w:div w:id="1343776669">
      <w:bodyDiv w:val="1"/>
      <w:marLeft w:val="0"/>
      <w:marRight w:val="0"/>
      <w:marTop w:val="0"/>
      <w:marBottom w:val="0"/>
      <w:divBdr>
        <w:top w:val="none" w:sz="0" w:space="0" w:color="auto"/>
        <w:left w:val="none" w:sz="0" w:space="0" w:color="auto"/>
        <w:bottom w:val="none" w:sz="0" w:space="0" w:color="auto"/>
        <w:right w:val="none" w:sz="0" w:space="0" w:color="auto"/>
      </w:divBdr>
    </w:div>
    <w:div w:id="1347513460">
      <w:bodyDiv w:val="1"/>
      <w:marLeft w:val="0"/>
      <w:marRight w:val="0"/>
      <w:marTop w:val="0"/>
      <w:marBottom w:val="0"/>
      <w:divBdr>
        <w:top w:val="none" w:sz="0" w:space="0" w:color="auto"/>
        <w:left w:val="none" w:sz="0" w:space="0" w:color="auto"/>
        <w:bottom w:val="none" w:sz="0" w:space="0" w:color="auto"/>
        <w:right w:val="none" w:sz="0" w:space="0" w:color="auto"/>
      </w:divBdr>
    </w:div>
    <w:div w:id="1415972480">
      <w:bodyDiv w:val="1"/>
      <w:marLeft w:val="0"/>
      <w:marRight w:val="0"/>
      <w:marTop w:val="0"/>
      <w:marBottom w:val="0"/>
      <w:divBdr>
        <w:top w:val="none" w:sz="0" w:space="0" w:color="auto"/>
        <w:left w:val="none" w:sz="0" w:space="0" w:color="auto"/>
        <w:bottom w:val="none" w:sz="0" w:space="0" w:color="auto"/>
        <w:right w:val="none" w:sz="0" w:space="0" w:color="auto"/>
      </w:divBdr>
    </w:div>
    <w:div w:id="1610963457">
      <w:bodyDiv w:val="1"/>
      <w:marLeft w:val="0"/>
      <w:marRight w:val="0"/>
      <w:marTop w:val="0"/>
      <w:marBottom w:val="0"/>
      <w:divBdr>
        <w:top w:val="none" w:sz="0" w:space="0" w:color="auto"/>
        <w:left w:val="none" w:sz="0" w:space="0" w:color="auto"/>
        <w:bottom w:val="none" w:sz="0" w:space="0" w:color="auto"/>
        <w:right w:val="none" w:sz="0" w:space="0" w:color="auto"/>
      </w:divBdr>
    </w:div>
    <w:div w:id="1620916087">
      <w:bodyDiv w:val="1"/>
      <w:marLeft w:val="0"/>
      <w:marRight w:val="0"/>
      <w:marTop w:val="0"/>
      <w:marBottom w:val="0"/>
      <w:divBdr>
        <w:top w:val="none" w:sz="0" w:space="0" w:color="auto"/>
        <w:left w:val="none" w:sz="0" w:space="0" w:color="auto"/>
        <w:bottom w:val="none" w:sz="0" w:space="0" w:color="auto"/>
        <w:right w:val="none" w:sz="0" w:space="0" w:color="auto"/>
      </w:divBdr>
    </w:div>
    <w:div w:id="1627470162">
      <w:bodyDiv w:val="1"/>
      <w:marLeft w:val="0"/>
      <w:marRight w:val="0"/>
      <w:marTop w:val="0"/>
      <w:marBottom w:val="0"/>
      <w:divBdr>
        <w:top w:val="none" w:sz="0" w:space="0" w:color="auto"/>
        <w:left w:val="none" w:sz="0" w:space="0" w:color="auto"/>
        <w:bottom w:val="none" w:sz="0" w:space="0" w:color="auto"/>
        <w:right w:val="none" w:sz="0" w:space="0" w:color="auto"/>
      </w:divBdr>
    </w:div>
    <w:div w:id="1708144017">
      <w:bodyDiv w:val="1"/>
      <w:marLeft w:val="0"/>
      <w:marRight w:val="0"/>
      <w:marTop w:val="0"/>
      <w:marBottom w:val="0"/>
      <w:divBdr>
        <w:top w:val="none" w:sz="0" w:space="0" w:color="auto"/>
        <w:left w:val="none" w:sz="0" w:space="0" w:color="auto"/>
        <w:bottom w:val="none" w:sz="0" w:space="0" w:color="auto"/>
        <w:right w:val="none" w:sz="0" w:space="0" w:color="auto"/>
      </w:divBdr>
    </w:div>
    <w:div w:id="1712654338">
      <w:bodyDiv w:val="1"/>
      <w:marLeft w:val="0"/>
      <w:marRight w:val="0"/>
      <w:marTop w:val="0"/>
      <w:marBottom w:val="0"/>
      <w:divBdr>
        <w:top w:val="none" w:sz="0" w:space="0" w:color="auto"/>
        <w:left w:val="none" w:sz="0" w:space="0" w:color="auto"/>
        <w:bottom w:val="none" w:sz="0" w:space="0" w:color="auto"/>
        <w:right w:val="none" w:sz="0" w:space="0" w:color="auto"/>
      </w:divBdr>
    </w:div>
    <w:div w:id="1713577285">
      <w:bodyDiv w:val="1"/>
      <w:marLeft w:val="0"/>
      <w:marRight w:val="0"/>
      <w:marTop w:val="0"/>
      <w:marBottom w:val="0"/>
      <w:divBdr>
        <w:top w:val="none" w:sz="0" w:space="0" w:color="auto"/>
        <w:left w:val="none" w:sz="0" w:space="0" w:color="auto"/>
        <w:bottom w:val="none" w:sz="0" w:space="0" w:color="auto"/>
        <w:right w:val="none" w:sz="0" w:space="0" w:color="auto"/>
      </w:divBdr>
    </w:div>
    <w:div w:id="1729571689">
      <w:bodyDiv w:val="1"/>
      <w:marLeft w:val="0"/>
      <w:marRight w:val="0"/>
      <w:marTop w:val="0"/>
      <w:marBottom w:val="0"/>
      <w:divBdr>
        <w:top w:val="none" w:sz="0" w:space="0" w:color="auto"/>
        <w:left w:val="none" w:sz="0" w:space="0" w:color="auto"/>
        <w:bottom w:val="none" w:sz="0" w:space="0" w:color="auto"/>
        <w:right w:val="none" w:sz="0" w:space="0" w:color="auto"/>
      </w:divBdr>
    </w:div>
    <w:div w:id="1823544414">
      <w:bodyDiv w:val="1"/>
      <w:marLeft w:val="0"/>
      <w:marRight w:val="0"/>
      <w:marTop w:val="0"/>
      <w:marBottom w:val="0"/>
      <w:divBdr>
        <w:top w:val="none" w:sz="0" w:space="0" w:color="auto"/>
        <w:left w:val="none" w:sz="0" w:space="0" w:color="auto"/>
        <w:bottom w:val="none" w:sz="0" w:space="0" w:color="auto"/>
        <w:right w:val="none" w:sz="0" w:space="0" w:color="auto"/>
      </w:divBdr>
    </w:div>
    <w:div w:id="1884322864">
      <w:bodyDiv w:val="1"/>
      <w:marLeft w:val="0"/>
      <w:marRight w:val="0"/>
      <w:marTop w:val="0"/>
      <w:marBottom w:val="0"/>
      <w:divBdr>
        <w:top w:val="none" w:sz="0" w:space="0" w:color="auto"/>
        <w:left w:val="none" w:sz="0" w:space="0" w:color="auto"/>
        <w:bottom w:val="none" w:sz="0" w:space="0" w:color="auto"/>
        <w:right w:val="none" w:sz="0" w:space="0" w:color="auto"/>
      </w:divBdr>
    </w:div>
    <w:div w:id="1922526852">
      <w:bodyDiv w:val="1"/>
      <w:marLeft w:val="0"/>
      <w:marRight w:val="0"/>
      <w:marTop w:val="0"/>
      <w:marBottom w:val="0"/>
      <w:divBdr>
        <w:top w:val="none" w:sz="0" w:space="0" w:color="auto"/>
        <w:left w:val="none" w:sz="0" w:space="0" w:color="auto"/>
        <w:bottom w:val="none" w:sz="0" w:space="0" w:color="auto"/>
        <w:right w:val="none" w:sz="0" w:space="0" w:color="auto"/>
      </w:divBdr>
    </w:div>
    <w:div w:id="1938900662">
      <w:bodyDiv w:val="1"/>
      <w:marLeft w:val="0"/>
      <w:marRight w:val="0"/>
      <w:marTop w:val="0"/>
      <w:marBottom w:val="0"/>
      <w:divBdr>
        <w:top w:val="none" w:sz="0" w:space="0" w:color="auto"/>
        <w:left w:val="none" w:sz="0" w:space="0" w:color="auto"/>
        <w:bottom w:val="none" w:sz="0" w:space="0" w:color="auto"/>
        <w:right w:val="none" w:sz="0" w:space="0" w:color="auto"/>
      </w:divBdr>
    </w:div>
    <w:div w:id="2064450078">
      <w:bodyDiv w:val="1"/>
      <w:marLeft w:val="0"/>
      <w:marRight w:val="0"/>
      <w:marTop w:val="0"/>
      <w:marBottom w:val="0"/>
      <w:divBdr>
        <w:top w:val="none" w:sz="0" w:space="0" w:color="auto"/>
        <w:left w:val="none" w:sz="0" w:space="0" w:color="auto"/>
        <w:bottom w:val="none" w:sz="0" w:space="0" w:color="auto"/>
        <w:right w:val="none" w:sz="0" w:space="0" w:color="auto"/>
      </w:divBdr>
    </w:div>
    <w:div w:id="2087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08/13590790910951849" TargetMode="External"/><Relationship Id="rId26" Type="http://schemas.openxmlformats.org/officeDocument/2006/relationships/hyperlink" Target="https://doi.org/10.3390/su132011166" TargetMode="External"/><Relationship Id="rId3" Type="http://schemas.openxmlformats.org/officeDocument/2006/relationships/settings" Target="settings.xml"/><Relationship Id="rId21" Type="http://schemas.openxmlformats.org/officeDocument/2006/relationships/hyperlink" Target="https://europa.eu/youreurope/business/taxation/vat/vat-rules-rates/index_en.htm" TargetMode="External"/><Relationship Id="rId7" Type="http://schemas.openxmlformats.org/officeDocument/2006/relationships/hyperlink" Target="http://dx.doi.org/10.15549/jeecar.v9i3.791" TargetMode="External"/><Relationship Id="rId12" Type="http://schemas.openxmlformats.org/officeDocument/2006/relationships/header" Target="header3.xml"/><Relationship Id="rId17" Type="http://schemas.openxmlformats.org/officeDocument/2006/relationships/hyperlink" Target="https://op.europa.eu/en/publication-detail/-/publication/48f32ee9-f3dd-11ea-991b-01aa75ed71a1/language-en" TargetMode="External"/><Relationship Id="rId25" Type="http://schemas.openxmlformats.org/officeDocument/2006/relationships/hyperlink" Target="https://ssrn.com/abstract=3164995" TargetMode="External"/><Relationship Id="rId2" Type="http://schemas.openxmlformats.org/officeDocument/2006/relationships/styles" Target="styles.xml"/><Relationship Id="rId16" Type="http://schemas.openxmlformats.org/officeDocument/2006/relationships/hyperlink" Target="https://doi.org/10.1007/s40822-015-0014-9" TargetMode="External"/><Relationship Id="rId20" Type="http://schemas.openxmlformats.org/officeDocument/2006/relationships/hyperlink" Target="https://doi.org/10.1108/AEA-09-2019-0028" TargetMode="External"/><Relationship Id="rId29" Type="http://schemas.openxmlformats.org/officeDocument/2006/relationships/hyperlink" Target="mailto:cecilia.olexova@euba.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ejpoleco.2010.06.003" TargetMode="External"/><Relationship Id="rId5" Type="http://schemas.openxmlformats.org/officeDocument/2006/relationships/footnotes" Target="footnotes.xml"/><Relationship Id="rId15" Type="http://schemas.openxmlformats.org/officeDocument/2006/relationships/hyperlink" Target="https://doi.org/10.1016/j.joep.2005.09.002" TargetMode="External"/><Relationship Id="rId23" Type="http://schemas.openxmlformats.org/officeDocument/2006/relationships/hyperlink" Target="https://home.kpmg/us/en/home/insights/2021/03/tnf-hungary-vat-reverse-charge-for-employee-leasing-services-limited-to-construction-projects.html" TargetMode="External"/><Relationship Id="rId28" Type="http://schemas.openxmlformats.org/officeDocument/2006/relationships/hyperlink" Target="https://info.worldbank.org/governance/wgi/" TargetMode="External"/><Relationship Id="rId10" Type="http://schemas.openxmlformats.org/officeDocument/2006/relationships/footer" Target="footer1.xml"/><Relationship Id="rId19" Type="http://schemas.openxmlformats.org/officeDocument/2006/relationships/hyperlink" Target="https://doi.org/10.1080/09638199.2019.160266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4324/9781315098722" TargetMode="External"/><Relationship Id="rId27" Type="http://schemas.openxmlformats.org/officeDocument/2006/relationships/hyperlink" Target="http://dx.doi.org/10.11118/actaun20146206142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6792</Words>
  <Characters>39942</Characters>
  <Application>Microsoft Office Word</Application>
  <DocSecurity>0</DocSecurity>
  <Lines>2349</Lines>
  <Paragraphs>1229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45505</CharactersWithSpaces>
  <SharedDoc>false</SharedDoc>
  <HLinks>
    <vt:vector size="6" baseType="variant">
      <vt:variant>
        <vt:i4>6291528</vt:i4>
      </vt:variant>
      <vt:variant>
        <vt:i4>0</vt:i4>
      </vt:variant>
      <vt:variant>
        <vt:i4>0</vt:i4>
      </vt:variant>
      <vt:variant>
        <vt:i4>5</vt:i4>
      </vt:variant>
      <vt:variant>
        <vt:lpwstr>http://www.iass-structures.org/ia_bocon.html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2022-05-30T14:29:00Z</dcterms:created>
  <dcterms:modified xsi:type="dcterms:W3CDTF">2022-06-04T18:30:00Z</dcterms:modified>
</cp:coreProperties>
</file>